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tabs>
          <w:tab w:pos="3422" w:val="left" w:leader="none"/>
          <w:tab w:pos="10137" w:val="left" w:leader="none"/>
        </w:tabs>
        <w:spacing w:before="60"/>
        <w:jc w:val="center"/>
        <w:rPr>
          <w:u w:val="none"/>
        </w:rPr>
      </w:pPr>
      <w:r>
        <w:rPr>
          <w:u w:val="single"/>
        </w:rPr>
        <w:tab/>
        <w:t>VERMONT</w:t>
      </w:r>
      <w:r>
        <w:rPr>
          <w:spacing w:val="-18"/>
          <w:u w:val="single"/>
        </w:rPr>
        <w:t> </w:t>
      </w:r>
      <w:r>
        <w:rPr>
          <w:spacing w:val="-2"/>
          <w:u w:val="single"/>
        </w:rPr>
        <w:t>CHANGES</w:t>
      </w:r>
      <w:r>
        <w:rPr>
          <w:u w:val="single"/>
        </w:rPr>
        <w:tab/>
      </w:r>
    </w:p>
    <w:p>
      <w:pPr>
        <w:spacing w:before="108"/>
        <w:ind w:left="0" w:right="0" w:firstLine="0"/>
        <w:jc w:val="center"/>
        <w:rPr>
          <w:b/>
          <w:sz w:val="28"/>
        </w:rPr>
      </w:pPr>
      <w:r>
        <w:rPr>
          <w:b/>
          <w:sz w:val="28"/>
        </w:rPr>
        <w:t>Amendatory</w:t>
      </w:r>
      <w:r>
        <w:rPr>
          <w:b/>
          <w:spacing w:val="-9"/>
          <w:sz w:val="28"/>
        </w:rPr>
        <w:t> </w:t>
      </w:r>
      <w:r>
        <w:rPr>
          <w:b/>
          <w:spacing w:val="-2"/>
          <w:sz w:val="28"/>
        </w:rPr>
        <w:t>Endorsement</w:t>
      </w:r>
    </w:p>
    <w:p>
      <w:pPr>
        <w:pStyle w:val="BodyText"/>
        <w:spacing w:before="68"/>
        <w:rPr>
          <w:b/>
          <w:sz w:val="28"/>
        </w:rPr>
      </w:pPr>
    </w:p>
    <w:p>
      <w:pPr>
        <w:spacing w:before="0"/>
        <w:ind w:left="0" w:right="0" w:firstLine="0"/>
        <w:jc w:val="center"/>
        <w:rPr>
          <w:sz w:val="24"/>
        </w:rPr>
      </w:pPr>
      <w:r>
        <w:rPr>
          <w:sz w:val="24"/>
        </w:rPr>
        <w:t>This</w:t>
      </w:r>
      <w:r>
        <w:rPr>
          <w:spacing w:val="-5"/>
          <w:sz w:val="24"/>
        </w:rPr>
        <w:t> </w:t>
      </w:r>
      <w:r>
        <w:rPr>
          <w:sz w:val="24"/>
        </w:rPr>
        <w:t>endorsement</w:t>
      </w:r>
      <w:r>
        <w:rPr>
          <w:spacing w:val="-2"/>
          <w:sz w:val="24"/>
        </w:rPr>
        <w:t> </w:t>
      </w:r>
      <w:r>
        <w:rPr>
          <w:sz w:val="24"/>
        </w:rPr>
        <w:t>changes</w:t>
      </w:r>
      <w:r>
        <w:rPr>
          <w:spacing w:val="-4"/>
          <w:sz w:val="24"/>
        </w:rPr>
        <w:t> </w:t>
      </w:r>
      <w:r>
        <w:rPr>
          <w:sz w:val="24"/>
        </w:rPr>
        <w:t>the</w:t>
      </w:r>
      <w:r>
        <w:rPr>
          <w:spacing w:val="-3"/>
          <w:sz w:val="24"/>
        </w:rPr>
        <w:t> </w:t>
      </w:r>
      <w:r>
        <w:rPr>
          <w:sz w:val="24"/>
        </w:rPr>
        <w:t>policy.</w:t>
      </w:r>
      <w:r>
        <w:rPr>
          <w:spacing w:val="-5"/>
          <w:sz w:val="24"/>
        </w:rPr>
        <w:t> </w:t>
      </w:r>
      <w:r>
        <w:rPr>
          <w:sz w:val="24"/>
        </w:rPr>
        <w:t>Please</w:t>
      </w:r>
      <w:r>
        <w:rPr>
          <w:spacing w:val="-1"/>
          <w:sz w:val="24"/>
        </w:rPr>
        <w:t> </w:t>
      </w:r>
      <w:r>
        <w:rPr>
          <w:sz w:val="24"/>
        </w:rPr>
        <w:t>read</w:t>
      </w:r>
      <w:r>
        <w:rPr>
          <w:spacing w:val="-4"/>
          <w:sz w:val="24"/>
        </w:rPr>
        <w:t> </w:t>
      </w:r>
      <w:r>
        <w:rPr>
          <w:sz w:val="24"/>
        </w:rPr>
        <w:t>it</w:t>
      </w:r>
      <w:r>
        <w:rPr>
          <w:spacing w:val="-1"/>
          <w:sz w:val="24"/>
        </w:rPr>
        <w:t> </w:t>
      </w:r>
      <w:r>
        <w:rPr>
          <w:spacing w:val="-2"/>
          <w:sz w:val="24"/>
        </w:rPr>
        <w:t>carefully.</w:t>
      </w:r>
    </w:p>
    <w:p>
      <w:pPr>
        <w:pStyle w:val="BodyText"/>
        <w:spacing w:before="114"/>
        <w:rPr>
          <w:sz w:val="24"/>
        </w:rPr>
      </w:pPr>
    </w:p>
    <w:p>
      <w:pPr>
        <w:pStyle w:val="BodyText"/>
        <w:spacing w:before="1"/>
        <w:ind w:left="360"/>
      </w:pPr>
      <w:r>
        <w:rPr/>
        <w:t>This</w:t>
      </w:r>
      <w:r>
        <w:rPr>
          <w:spacing w:val="-9"/>
        </w:rPr>
        <w:t> </w:t>
      </w:r>
      <w:r>
        <w:rPr/>
        <w:t>endorsement</w:t>
      </w:r>
      <w:r>
        <w:rPr>
          <w:spacing w:val="-7"/>
        </w:rPr>
        <w:t> </w:t>
      </w:r>
      <w:r>
        <w:rPr/>
        <w:t>modifies</w:t>
      </w:r>
      <w:r>
        <w:rPr>
          <w:spacing w:val="-5"/>
        </w:rPr>
        <w:t> </w:t>
      </w:r>
      <w:r>
        <w:rPr/>
        <w:t>the</w:t>
      </w:r>
      <w:r>
        <w:rPr>
          <w:spacing w:val="-8"/>
        </w:rPr>
        <w:t> </w:t>
      </w:r>
      <w:r>
        <w:rPr/>
        <w:t>insurance</w:t>
      </w:r>
      <w:r>
        <w:rPr>
          <w:spacing w:val="-9"/>
        </w:rPr>
        <w:t> </w:t>
      </w:r>
      <w:r>
        <w:rPr/>
        <w:t>provided</w:t>
      </w:r>
      <w:r>
        <w:rPr>
          <w:spacing w:val="-7"/>
        </w:rPr>
        <w:t> </w:t>
      </w:r>
      <w:r>
        <w:rPr/>
        <w:t>under</w:t>
      </w:r>
      <w:r>
        <w:rPr>
          <w:spacing w:val="-8"/>
        </w:rPr>
        <w:t> </w:t>
      </w:r>
      <w:r>
        <w:rPr/>
        <w:t>the</w:t>
      </w:r>
      <w:r>
        <w:rPr>
          <w:spacing w:val="-7"/>
        </w:rPr>
        <w:t> </w:t>
      </w:r>
      <w:r>
        <w:rPr>
          <w:spacing w:val="-2"/>
        </w:rPr>
        <w:t>following:</w:t>
      </w:r>
    </w:p>
    <w:p>
      <w:pPr>
        <w:pStyle w:val="Heading1"/>
        <w:spacing w:before="79"/>
        <w:ind w:left="360" w:firstLine="0"/>
        <w:jc w:val="left"/>
      </w:pPr>
      <w:r>
        <w:rPr/>
        <w:t>Cyber</w:t>
      </w:r>
      <w:r>
        <w:rPr>
          <w:spacing w:val="-7"/>
        </w:rPr>
        <w:t> </w:t>
      </w:r>
      <w:r>
        <w:rPr/>
        <w:t>Suite</w:t>
      </w:r>
      <w:r>
        <w:rPr>
          <w:spacing w:val="-8"/>
        </w:rPr>
        <w:t> </w:t>
      </w:r>
      <w:r>
        <w:rPr>
          <w:spacing w:val="-2"/>
        </w:rPr>
        <w:t>Coverage</w:t>
      </w:r>
    </w:p>
    <w:p>
      <w:pPr>
        <w:pStyle w:val="BodyText"/>
        <w:spacing w:before="159"/>
        <w:rPr>
          <w:b/>
        </w:rPr>
      </w:pPr>
    </w:p>
    <w:p>
      <w:pPr>
        <w:pStyle w:val="ListParagraph"/>
        <w:numPr>
          <w:ilvl w:val="0"/>
          <w:numId w:val="1"/>
        </w:numPr>
        <w:tabs>
          <w:tab w:pos="717" w:val="left" w:leader="none"/>
        </w:tabs>
        <w:spacing w:line="240" w:lineRule="auto" w:before="0" w:after="0"/>
        <w:ind w:left="717" w:right="0" w:hanging="358"/>
        <w:jc w:val="both"/>
        <w:rPr>
          <w:sz w:val="20"/>
        </w:rPr>
      </w:pPr>
      <w:r>
        <w:rPr>
          <w:b/>
          <w:sz w:val="20"/>
        </w:rPr>
        <w:t>B.</w:t>
      </w:r>
      <w:r>
        <w:rPr>
          <w:b/>
          <w:spacing w:val="-8"/>
          <w:sz w:val="20"/>
        </w:rPr>
        <w:t> </w:t>
      </w:r>
      <w:r>
        <w:rPr>
          <w:b/>
          <w:sz w:val="20"/>
        </w:rPr>
        <w:t>EXCLUSIONS</w:t>
      </w:r>
      <w:r>
        <w:rPr>
          <w:sz w:val="20"/>
        </w:rPr>
        <w:t>,</w:t>
      </w:r>
      <w:r>
        <w:rPr>
          <w:spacing w:val="-5"/>
          <w:sz w:val="20"/>
        </w:rPr>
        <w:t> </w:t>
      </w:r>
      <w:r>
        <w:rPr>
          <w:b/>
          <w:sz w:val="20"/>
        </w:rPr>
        <w:t>17.</w:t>
      </w:r>
      <w:r>
        <w:rPr>
          <w:b/>
          <w:spacing w:val="-4"/>
          <w:sz w:val="20"/>
        </w:rPr>
        <w:t> </w:t>
      </w:r>
      <w:r>
        <w:rPr>
          <w:sz w:val="20"/>
        </w:rPr>
        <w:t>is</w:t>
      </w:r>
      <w:r>
        <w:rPr>
          <w:spacing w:val="-6"/>
          <w:sz w:val="20"/>
        </w:rPr>
        <w:t> </w:t>
      </w:r>
      <w:r>
        <w:rPr>
          <w:spacing w:val="-2"/>
          <w:sz w:val="20"/>
        </w:rPr>
        <w:t>deleted.</w:t>
      </w:r>
    </w:p>
    <w:p>
      <w:pPr>
        <w:pStyle w:val="ListParagraph"/>
        <w:numPr>
          <w:ilvl w:val="0"/>
          <w:numId w:val="1"/>
        </w:numPr>
        <w:tabs>
          <w:tab w:pos="717" w:val="left" w:leader="none"/>
        </w:tabs>
        <w:spacing w:line="240" w:lineRule="auto" w:before="82" w:after="0"/>
        <w:ind w:left="717" w:right="0" w:hanging="358"/>
        <w:jc w:val="both"/>
        <w:rPr>
          <w:sz w:val="20"/>
        </w:rPr>
      </w:pPr>
      <w:r>
        <w:rPr>
          <w:b/>
          <w:sz w:val="20"/>
        </w:rPr>
        <w:t>C.</w:t>
      </w:r>
      <w:r>
        <w:rPr>
          <w:b/>
          <w:spacing w:val="-7"/>
          <w:sz w:val="20"/>
        </w:rPr>
        <w:t> </w:t>
      </w:r>
      <w:r>
        <w:rPr>
          <w:b/>
          <w:sz w:val="20"/>
        </w:rPr>
        <w:t>LIMITS</w:t>
      </w:r>
      <w:r>
        <w:rPr>
          <w:b/>
          <w:spacing w:val="-7"/>
          <w:sz w:val="20"/>
        </w:rPr>
        <w:t> </w:t>
      </w:r>
      <w:r>
        <w:rPr>
          <w:b/>
          <w:sz w:val="20"/>
        </w:rPr>
        <w:t>OF</w:t>
      </w:r>
      <w:r>
        <w:rPr>
          <w:b/>
          <w:spacing w:val="-6"/>
          <w:sz w:val="20"/>
        </w:rPr>
        <w:t> </w:t>
      </w:r>
      <w:r>
        <w:rPr>
          <w:b/>
          <w:sz w:val="20"/>
        </w:rPr>
        <w:t>INSURANCE</w:t>
      </w:r>
      <w:r>
        <w:rPr>
          <w:sz w:val="20"/>
        </w:rPr>
        <w:t>,</w:t>
      </w:r>
      <w:r>
        <w:rPr>
          <w:spacing w:val="-6"/>
          <w:sz w:val="20"/>
        </w:rPr>
        <w:t> </w:t>
      </w:r>
      <w:r>
        <w:rPr>
          <w:b/>
          <w:sz w:val="20"/>
        </w:rPr>
        <w:t>1.</w:t>
      </w:r>
      <w:r>
        <w:rPr>
          <w:b/>
          <w:spacing w:val="-5"/>
          <w:sz w:val="20"/>
        </w:rPr>
        <w:t> </w:t>
      </w:r>
      <w:r>
        <w:rPr>
          <w:b/>
          <w:sz w:val="20"/>
        </w:rPr>
        <w:t>Aggregate</w:t>
      </w:r>
      <w:r>
        <w:rPr>
          <w:b/>
          <w:spacing w:val="-6"/>
          <w:sz w:val="20"/>
        </w:rPr>
        <w:t> </w:t>
      </w:r>
      <w:r>
        <w:rPr>
          <w:b/>
          <w:sz w:val="20"/>
        </w:rPr>
        <w:t>Limits</w:t>
      </w:r>
      <w:r>
        <w:rPr>
          <w:b/>
          <w:spacing w:val="-5"/>
          <w:sz w:val="20"/>
        </w:rPr>
        <w:t> </w:t>
      </w:r>
      <w:r>
        <w:rPr>
          <w:sz w:val="20"/>
        </w:rPr>
        <w:t>is</w:t>
      </w:r>
      <w:r>
        <w:rPr>
          <w:spacing w:val="-3"/>
          <w:sz w:val="20"/>
        </w:rPr>
        <w:t> </w:t>
      </w:r>
      <w:r>
        <w:rPr>
          <w:sz w:val="20"/>
        </w:rPr>
        <w:t>deleted</w:t>
      </w:r>
      <w:r>
        <w:rPr>
          <w:spacing w:val="-4"/>
          <w:sz w:val="20"/>
        </w:rPr>
        <w:t> </w:t>
      </w:r>
      <w:r>
        <w:rPr>
          <w:sz w:val="20"/>
        </w:rPr>
        <w:t>and</w:t>
      </w:r>
      <w:r>
        <w:rPr>
          <w:spacing w:val="-7"/>
          <w:sz w:val="20"/>
        </w:rPr>
        <w:t> </w:t>
      </w:r>
      <w:r>
        <w:rPr>
          <w:sz w:val="20"/>
        </w:rPr>
        <w:t>replaced</w:t>
      </w:r>
      <w:r>
        <w:rPr>
          <w:spacing w:val="-4"/>
          <w:sz w:val="20"/>
        </w:rPr>
        <w:t> </w:t>
      </w:r>
      <w:r>
        <w:rPr>
          <w:sz w:val="20"/>
        </w:rPr>
        <w:t>with</w:t>
      </w:r>
      <w:r>
        <w:rPr>
          <w:spacing w:val="-7"/>
          <w:sz w:val="20"/>
        </w:rPr>
        <w:t> </w:t>
      </w:r>
      <w:r>
        <w:rPr>
          <w:sz w:val="20"/>
        </w:rPr>
        <w:t>the</w:t>
      </w:r>
      <w:r>
        <w:rPr>
          <w:spacing w:val="-6"/>
          <w:sz w:val="20"/>
        </w:rPr>
        <w:t> </w:t>
      </w:r>
      <w:r>
        <w:rPr>
          <w:spacing w:val="-2"/>
          <w:sz w:val="20"/>
        </w:rPr>
        <w:t>following:</w:t>
      </w:r>
    </w:p>
    <w:p>
      <w:pPr>
        <w:pStyle w:val="Heading1"/>
        <w:numPr>
          <w:ilvl w:val="1"/>
          <w:numId w:val="1"/>
        </w:numPr>
        <w:tabs>
          <w:tab w:pos="1077" w:val="left" w:leader="none"/>
        </w:tabs>
        <w:spacing w:line="240" w:lineRule="auto" w:before="80" w:after="0"/>
        <w:ind w:left="1077" w:right="0" w:hanging="358"/>
        <w:jc w:val="both"/>
      </w:pPr>
      <w:r>
        <w:rPr/>
        <w:t>Aggregate</w:t>
      </w:r>
      <w:r>
        <w:rPr>
          <w:spacing w:val="-14"/>
        </w:rPr>
        <w:t> </w:t>
      </w:r>
      <w:r>
        <w:rPr>
          <w:spacing w:val="-2"/>
        </w:rPr>
        <w:t>Limits</w:t>
      </w:r>
    </w:p>
    <w:p>
      <w:pPr>
        <w:pStyle w:val="BodyText"/>
        <w:spacing w:before="79"/>
        <w:ind w:left="1079" w:right="359"/>
        <w:jc w:val="both"/>
      </w:pPr>
      <w:r>
        <w:rPr/>
        <w:t>The First Party Annual Aggregate Limit shown in the Cyber Suite Supplemental Declarations is the most we</w:t>
      </w:r>
      <w:r>
        <w:rPr>
          <w:spacing w:val="-10"/>
        </w:rPr>
        <w:t> </w:t>
      </w:r>
      <w:r>
        <w:rPr/>
        <w:t>will</w:t>
      </w:r>
      <w:r>
        <w:rPr>
          <w:spacing w:val="-11"/>
        </w:rPr>
        <w:t> </w:t>
      </w:r>
      <w:r>
        <w:rPr/>
        <w:t>pay</w:t>
      </w:r>
      <w:r>
        <w:rPr>
          <w:spacing w:val="-9"/>
        </w:rPr>
        <w:t> </w:t>
      </w:r>
      <w:r>
        <w:rPr/>
        <w:t>for</w:t>
      </w:r>
      <w:r>
        <w:rPr>
          <w:spacing w:val="-7"/>
        </w:rPr>
        <w:t> </w:t>
      </w:r>
      <w:r>
        <w:rPr/>
        <w:t>all</w:t>
      </w:r>
      <w:r>
        <w:rPr>
          <w:spacing w:val="-11"/>
        </w:rPr>
        <w:t> </w:t>
      </w:r>
      <w:r>
        <w:rPr/>
        <w:t>“loss”</w:t>
      </w:r>
      <w:r>
        <w:rPr>
          <w:spacing w:val="-9"/>
        </w:rPr>
        <w:t> </w:t>
      </w:r>
      <w:r>
        <w:rPr/>
        <w:t>under</w:t>
      </w:r>
      <w:r>
        <w:rPr>
          <w:spacing w:val="-9"/>
        </w:rPr>
        <w:t> </w:t>
      </w:r>
      <w:r>
        <w:rPr/>
        <w:t>all</w:t>
      </w:r>
      <w:r>
        <w:rPr>
          <w:spacing w:val="-10"/>
        </w:rPr>
        <w:t> </w:t>
      </w:r>
      <w:r>
        <w:rPr/>
        <w:t>applicable</w:t>
      </w:r>
      <w:r>
        <w:rPr>
          <w:spacing w:val="-8"/>
        </w:rPr>
        <w:t> </w:t>
      </w:r>
      <w:r>
        <w:rPr/>
        <w:t>coverage</w:t>
      </w:r>
      <w:r>
        <w:rPr>
          <w:spacing w:val="-10"/>
        </w:rPr>
        <w:t> </w:t>
      </w:r>
      <w:r>
        <w:rPr/>
        <w:t>sections,</w:t>
      </w:r>
      <w:r>
        <w:rPr>
          <w:spacing w:val="-8"/>
        </w:rPr>
        <w:t> </w:t>
      </w:r>
      <w:r>
        <w:rPr/>
        <w:t>except</w:t>
      </w:r>
      <w:r>
        <w:rPr>
          <w:spacing w:val="-8"/>
        </w:rPr>
        <w:t> </w:t>
      </w:r>
      <w:r>
        <w:rPr/>
        <w:t>Identity</w:t>
      </w:r>
      <w:r>
        <w:rPr>
          <w:spacing w:val="-9"/>
        </w:rPr>
        <w:t> </w:t>
      </w:r>
      <w:r>
        <w:rPr/>
        <w:t>Recovery,</w:t>
      </w:r>
      <w:r>
        <w:rPr>
          <w:spacing w:val="-10"/>
        </w:rPr>
        <w:t> </w:t>
      </w:r>
      <w:r>
        <w:rPr/>
        <w:t>in</w:t>
      </w:r>
      <w:r>
        <w:rPr>
          <w:spacing w:val="-8"/>
        </w:rPr>
        <w:t> </w:t>
      </w:r>
      <w:r>
        <w:rPr/>
        <w:t>any</w:t>
      </w:r>
      <w:r>
        <w:rPr>
          <w:spacing w:val="-6"/>
        </w:rPr>
        <w:t> </w:t>
      </w:r>
      <w:r>
        <w:rPr/>
        <w:t>one</w:t>
      </w:r>
      <w:r>
        <w:rPr>
          <w:spacing w:val="-10"/>
        </w:rPr>
        <w:t> </w:t>
      </w:r>
      <w:r>
        <w:rPr/>
        <w:t>“policy period”. The First Party Annual Aggregate Limit shown in the Cyber Suite Supplemental Declarations applies regardless of the number of insured events first discovered during the “policy period”.</w:t>
      </w:r>
    </w:p>
    <w:p>
      <w:pPr>
        <w:pStyle w:val="BodyText"/>
        <w:spacing w:before="82"/>
        <w:ind w:left="1079" w:right="358"/>
        <w:jc w:val="both"/>
      </w:pPr>
      <w:r>
        <w:rPr/>
        <w:t>The Third-Party Defense Annual Aggregate Limit shown in the Cyber Suite Supplemental Declarations is the most we will pay for “defense costs” under the applicable Liability coverage section in any one “policy period” or any Extended Reporting Period.</w:t>
      </w:r>
    </w:p>
    <w:p>
      <w:pPr>
        <w:pStyle w:val="BodyText"/>
        <w:spacing w:before="78"/>
        <w:ind w:left="1079" w:right="358"/>
        <w:jc w:val="both"/>
      </w:pPr>
      <w:r>
        <w:rPr/>
        <w:t>Except</w:t>
      </w:r>
      <w:r>
        <w:rPr>
          <w:spacing w:val="-14"/>
        </w:rPr>
        <w:t> </w:t>
      </w:r>
      <w:r>
        <w:rPr/>
        <w:t>for</w:t>
      </w:r>
      <w:r>
        <w:rPr>
          <w:spacing w:val="-13"/>
        </w:rPr>
        <w:t> </w:t>
      </w:r>
      <w:r>
        <w:rPr/>
        <w:t>post-judgment</w:t>
      </w:r>
      <w:r>
        <w:rPr>
          <w:spacing w:val="-14"/>
        </w:rPr>
        <w:t> </w:t>
      </w:r>
      <w:r>
        <w:rPr/>
        <w:t>interest,</w:t>
      </w:r>
      <w:r>
        <w:rPr>
          <w:spacing w:val="-14"/>
        </w:rPr>
        <w:t> </w:t>
      </w:r>
      <w:r>
        <w:rPr/>
        <w:t>the</w:t>
      </w:r>
      <w:r>
        <w:rPr>
          <w:spacing w:val="-14"/>
        </w:rPr>
        <w:t> </w:t>
      </w:r>
      <w:r>
        <w:rPr/>
        <w:t>Third-Party</w:t>
      </w:r>
      <w:r>
        <w:rPr>
          <w:spacing w:val="-12"/>
        </w:rPr>
        <w:t> </w:t>
      </w:r>
      <w:r>
        <w:rPr/>
        <w:t>Liability</w:t>
      </w:r>
      <w:r>
        <w:rPr>
          <w:spacing w:val="-12"/>
        </w:rPr>
        <w:t> </w:t>
      </w:r>
      <w:r>
        <w:rPr/>
        <w:t>Annual</w:t>
      </w:r>
      <w:r>
        <w:rPr>
          <w:spacing w:val="-14"/>
        </w:rPr>
        <w:t> </w:t>
      </w:r>
      <w:r>
        <w:rPr/>
        <w:t>Aggregate</w:t>
      </w:r>
      <w:r>
        <w:rPr>
          <w:spacing w:val="-14"/>
        </w:rPr>
        <w:t> </w:t>
      </w:r>
      <w:r>
        <w:rPr/>
        <w:t>Limit</w:t>
      </w:r>
      <w:r>
        <w:rPr>
          <w:spacing w:val="-14"/>
        </w:rPr>
        <w:t> </w:t>
      </w:r>
      <w:r>
        <w:rPr/>
        <w:t>shown</w:t>
      </w:r>
      <w:r>
        <w:rPr>
          <w:spacing w:val="-11"/>
        </w:rPr>
        <w:t> </w:t>
      </w:r>
      <w:r>
        <w:rPr/>
        <w:t>in</w:t>
      </w:r>
      <w:r>
        <w:rPr>
          <w:spacing w:val="-14"/>
        </w:rPr>
        <w:t> </w:t>
      </w:r>
      <w:r>
        <w:rPr/>
        <w:t>the</w:t>
      </w:r>
      <w:r>
        <w:rPr>
          <w:spacing w:val="-14"/>
        </w:rPr>
        <w:t> </w:t>
      </w:r>
      <w:r>
        <w:rPr/>
        <w:t>Cyber</w:t>
      </w:r>
      <w:r>
        <w:rPr>
          <w:spacing w:val="-13"/>
        </w:rPr>
        <w:t> </w:t>
      </w:r>
      <w:r>
        <w:rPr/>
        <w:t>Suite Supplemental Declarations is the most we will pay for all “settlement costs” under the applicable Liability coverage section in any one “policy period” or any applicable Extended Reporting Period.</w:t>
      </w:r>
    </w:p>
    <w:p>
      <w:pPr>
        <w:pStyle w:val="BodyText"/>
        <w:spacing w:before="80"/>
        <w:ind w:left="1079" w:right="360"/>
        <w:jc w:val="both"/>
      </w:pPr>
      <w:r>
        <w:rPr/>
        <w:t>The Third-Party Defense Annual Aggregate Limit and the Third Party Liability Annual Aggregate Limit shown</w:t>
      </w:r>
      <w:r>
        <w:rPr>
          <w:spacing w:val="-7"/>
        </w:rPr>
        <w:t> </w:t>
      </w:r>
      <w:r>
        <w:rPr/>
        <w:t>in</w:t>
      </w:r>
      <w:r>
        <w:rPr>
          <w:spacing w:val="-7"/>
        </w:rPr>
        <w:t> </w:t>
      </w:r>
      <w:r>
        <w:rPr/>
        <w:t>the</w:t>
      </w:r>
      <w:r>
        <w:rPr>
          <w:spacing w:val="-4"/>
        </w:rPr>
        <w:t> </w:t>
      </w:r>
      <w:r>
        <w:rPr/>
        <w:t>Cyber</w:t>
      </w:r>
      <w:r>
        <w:rPr>
          <w:spacing w:val="-5"/>
        </w:rPr>
        <w:t> </w:t>
      </w:r>
      <w:r>
        <w:rPr/>
        <w:t>Suite</w:t>
      </w:r>
      <w:r>
        <w:rPr>
          <w:spacing w:val="-7"/>
        </w:rPr>
        <w:t> </w:t>
      </w:r>
      <w:r>
        <w:rPr/>
        <w:t>Supplemental</w:t>
      </w:r>
      <w:r>
        <w:rPr>
          <w:spacing w:val="-7"/>
        </w:rPr>
        <w:t> </w:t>
      </w:r>
      <w:r>
        <w:rPr/>
        <w:t>Declarations</w:t>
      </w:r>
      <w:r>
        <w:rPr>
          <w:spacing w:val="-5"/>
        </w:rPr>
        <w:t> </w:t>
      </w:r>
      <w:r>
        <w:rPr/>
        <w:t>apply</w:t>
      </w:r>
      <w:r>
        <w:rPr>
          <w:spacing w:val="-5"/>
        </w:rPr>
        <w:t> </w:t>
      </w:r>
      <w:r>
        <w:rPr/>
        <w:t>regardless</w:t>
      </w:r>
      <w:r>
        <w:rPr>
          <w:spacing w:val="-5"/>
        </w:rPr>
        <w:t> </w:t>
      </w:r>
      <w:r>
        <w:rPr/>
        <w:t>of</w:t>
      </w:r>
      <w:r>
        <w:rPr>
          <w:spacing w:val="-6"/>
        </w:rPr>
        <w:t> </w:t>
      </w:r>
      <w:r>
        <w:rPr/>
        <w:t>the</w:t>
      </w:r>
      <w:r>
        <w:rPr>
          <w:spacing w:val="-7"/>
        </w:rPr>
        <w:t> </w:t>
      </w:r>
      <w:r>
        <w:rPr/>
        <w:t>number</w:t>
      </w:r>
      <w:r>
        <w:rPr>
          <w:spacing w:val="-5"/>
        </w:rPr>
        <w:t> </w:t>
      </w:r>
      <w:r>
        <w:rPr/>
        <w:t>of</w:t>
      </w:r>
      <w:r>
        <w:rPr>
          <w:spacing w:val="-6"/>
        </w:rPr>
        <w:t> </w:t>
      </w:r>
      <w:r>
        <w:rPr/>
        <w:t>insured</w:t>
      </w:r>
      <w:r>
        <w:rPr>
          <w:spacing w:val="-6"/>
        </w:rPr>
        <w:t> </w:t>
      </w:r>
      <w:r>
        <w:rPr/>
        <w:t>“claims”</w:t>
      </w:r>
      <w:r>
        <w:rPr>
          <w:spacing w:val="-5"/>
        </w:rPr>
        <w:t> </w:t>
      </w:r>
      <w:r>
        <w:rPr/>
        <w:t>or “regulatory proceedings” first received during the “policy period” or any applicable Extended Reporting </w:t>
      </w:r>
      <w:r>
        <w:rPr>
          <w:spacing w:val="-2"/>
        </w:rPr>
        <w:t>Period.</w:t>
      </w:r>
    </w:p>
    <w:p>
      <w:pPr>
        <w:pStyle w:val="BodyText"/>
        <w:spacing w:before="81"/>
        <w:ind w:left="1079" w:right="362"/>
        <w:jc w:val="both"/>
      </w:pPr>
      <w:r>
        <w:rPr/>
        <w:t>The Identity Recovery Coverage is subject to the Identity Recovery Limit as shown in the Cyber Suite Supplemental Declarations.</w:t>
      </w:r>
    </w:p>
    <w:p>
      <w:pPr>
        <w:pStyle w:val="ListParagraph"/>
        <w:numPr>
          <w:ilvl w:val="0"/>
          <w:numId w:val="1"/>
        </w:numPr>
        <w:tabs>
          <w:tab w:pos="717" w:val="left" w:leader="none"/>
          <w:tab w:pos="719" w:val="left" w:leader="none"/>
        </w:tabs>
        <w:spacing w:line="240" w:lineRule="auto" w:before="80" w:after="0"/>
        <w:ind w:left="719" w:right="355" w:hanging="360"/>
        <w:jc w:val="both"/>
        <w:rPr>
          <w:sz w:val="20"/>
        </w:rPr>
      </w:pPr>
      <w:r>
        <w:rPr>
          <w:b/>
          <w:sz w:val="20"/>
        </w:rPr>
        <w:t>C.</w:t>
      </w:r>
      <w:r>
        <w:rPr>
          <w:b/>
          <w:spacing w:val="-1"/>
          <w:sz w:val="20"/>
        </w:rPr>
        <w:t> </w:t>
      </w:r>
      <w:r>
        <w:rPr>
          <w:b/>
          <w:sz w:val="20"/>
        </w:rPr>
        <w:t>LIMITS</w:t>
      </w:r>
      <w:r>
        <w:rPr>
          <w:b/>
          <w:spacing w:val="-1"/>
          <w:sz w:val="20"/>
        </w:rPr>
        <w:t> </w:t>
      </w:r>
      <w:r>
        <w:rPr>
          <w:b/>
          <w:sz w:val="20"/>
        </w:rPr>
        <w:t>OF INSURANCE</w:t>
      </w:r>
      <w:r>
        <w:rPr>
          <w:sz w:val="20"/>
        </w:rPr>
        <w:t>,</w:t>
      </w:r>
      <w:r>
        <w:rPr>
          <w:spacing w:val="-1"/>
          <w:sz w:val="20"/>
        </w:rPr>
        <w:t> </w:t>
      </w:r>
      <w:r>
        <w:rPr>
          <w:b/>
          <w:sz w:val="20"/>
        </w:rPr>
        <w:t>2.a.</w:t>
      </w:r>
      <w:r>
        <w:rPr>
          <w:b/>
          <w:spacing w:val="-1"/>
          <w:sz w:val="20"/>
        </w:rPr>
        <w:t> </w:t>
      </w:r>
      <w:r>
        <w:rPr>
          <w:b/>
          <w:sz w:val="20"/>
        </w:rPr>
        <w:t>Data</w:t>
      </w:r>
      <w:r>
        <w:rPr>
          <w:b/>
          <w:spacing w:val="-1"/>
          <w:sz w:val="20"/>
        </w:rPr>
        <w:t> </w:t>
      </w:r>
      <w:r>
        <w:rPr>
          <w:b/>
          <w:sz w:val="20"/>
        </w:rPr>
        <w:t>Compromise Sublimits, 2.b.</w:t>
      </w:r>
      <w:r>
        <w:rPr>
          <w:b/>
          <w:spacing w:val="-1"/>
          <w:sz w:val="20"/>
        </w:rPr>
        <w:t> </w:t>
      </w:r>
      <w:r>
        <w:rPr>
          <w:b/>
          <w:sz w:val="20"/>
        </w:rPr>
        <w:t>Computer Attack</w:t>
      </w:r>
      <w:r>
        <w:rPr>
          <w:b/>
          <w:spacing w:val="-1"/>
          <w:sz w:val="20"/>
        </w:rPr>
        <w:t> </w:t>
      </w:r>
      <w:r>
        <w:rPr>
          <w:b/>
          <w:sz w:val="20"/>
        </w:rPr>
        <w:t>Sublimit,</w:t>
      </w:r>
      <w:r>
        <w:rPr>
          <w:b/>
          <w:spacing w:val="-1"/>
          <w:sz w:val="20"/>
        </w:rPr>
        <w:t> </w:t>
      </w:r>
      <w:r>
        <w:rPr>
          <w:b/>
          <w:sz w:val="20"/>
        </w:rPr>
        <w:t>2.c.</w:t>
      </w:r>
      <w:r>
        <w:rPr>
          <w:b/>
          <w:spacing w:val="-1"/>
          <w:sz w:val="20"/>
        </w:rPr>
        <w:t> </w:t>
      </w:r>
      <w:r>
        <w:rPr>
          <w:b/>
          <w:sz w:val="20"/>
        </w:rPr>
        <w:t>Cyber Extortion Sublimit, 2.d. Misdirected Payment Fraud Sublimit, 2.e. Computer Fraud Sublimit, 2.f. Telecommunications Fraud Sublimit </w:t>
      </w:r>
      <w:r>
        <w:rPr>
          <w:sz w:val="20"/>
        </w:rPr>
        <w:t>and </w:t>
      </w:r>
      <w:r>
        <w:rPr>
          <w:b/>
          <w:sz w:val="20"/>
        </w:rPr>
        <w:t>2.g. Reward Payments Sublimit </w:t>
      </w:r>
      <w:r>
        <w:rPr>
          <w:sz w:val="20"/>
        </w:rPr>
        <w:t>are deleted and replaced with the following:</w:t>
      </w:r>
    </w:p>
    <w:p>
      <w:pPr>
        <w:spacing w:before="79"/>
        <w:ind w:left="719" w:right="0" w:firstLine="0"/>
        <w:jc w:val="both"/>
        <w:rPr>
          <w:b/>
          <w:sz w:val="20"/>
        </w:rPr>
      </w:pPr>
      <w:r>
        <w:rPr>
          <w:b/>
          <w:sz w:val="20"/>
        </w:rPr>
        <w:t>[Option</w:t>
      </w:r>
      <w:r>
        <w:rPr>
          <w:b/>
          <w:spacing w:val="-8"/>
          <w:sz w:val="20"/>
        </w:rPr>
        <w:t> </w:t>
      </w:r>
      <w:r>
        <w:rPr>
          <w:b/>
          <w:spacing w:val="-5"/>
          <w:sz w:val="20"/>
        </w:rPr>
        <w:t>1]</w:t>
      </w:r>
    </w:p>
    <w:p>
      <w:pPr>
        <w:pStyle w:val="ListParagraph"/>
        <w:numPr>
          <w:ilvl w:val="0"/>
          <w:numId w:val="2"/>
        </w:numPr>
        <w:tabs>
          <w:tab w:pos="1077" w:val="left" w:leader="none"/>
        </w:tabs>
        <w:spacing w:line="240" w:lineRule="auto" w:before="82" w:after="0"/>
        <w:ind w:left="1077" w:right="0" w:hanging="358"/>
        <w:jc w:val="both"/>
        <w:rPr>
          <w:b/>
          <w:sz w:val="20"/>
        </w:rPr>
      </w:pPr>
      <w:r>
        <w:rPr>
          <w:b/>
          <w:sz w:val="20"/>
        </w:rPr>
        <w:t>Data</w:t>
      </w:r>
      <w:r>
        <w:rPr>
          <w:b/>
          <w:spacing w:val="-10"/>
          <w:sz w:val="20"/>
        </w:rPr>
        <w:t> </w:t>
      </w:r>
      <w:r>
        <w:rPr>
          <w:b/>
          <w:sz w:val="20"/>
        </w:rPr>
        <w:t>Compromise</w:t>
      </w:r>
      <w:r>
        <w:rPr>
          <w:b/>
          <w:spacing w:val="-8"/>
          <w:sz w:val="20"/>
        </w:rPr>
        <w:t> </w:t>
      </w:r>
      <w:r>
        <w:rPr>
          <w:b/>
          <w:spacing w:val="-2"/>
          <w:sz w:val="20"/>
        </w:rPr>
        <w:t>Sublimits</w:t>
      </w:r>
    </w:p>
    <w:p>
      <w:pPr>
        <w:pStyle w:val="BodyText"/>
        <w:spacing w:before="79"/>
        <w:ind w:left="1080" w:right="359" w:hanging="1"/>
        <w:jc w:val="both"/>
      </w:pPr>
      <w:r>
        <w:rPr/>
        <w:t>The</w:t>
      </w:r>
      <w:r>
        <w:rPr>
          <w:spacing w:val="-2"/>
        </w:rPr>
        <w:t> </w:t>
      </w:r>
      <w:r>
        <w:rPr/>
        <w:t>most</w:t>
      </w:r>
      <w:r>
        <w:rPr>
          <w:spacing w:val="-2"/>
        </w:rPr>
        <w:t> </w:t>
      </w:r>
      <w:r>
        <w:rPr/>
        <w:t>we</w:t>
      </w:r>
      <w:r>
        <w:rPr>
          <w:spacing w:val="-2"/>
        </w:rPr>
        <w:t> </w:t>
      </w:r>
      <w:r>
        <w:rPr/>
        <w:t>will</w:t>
      </w:r>
      <w:r>
        <w:rPr>
          <w:spacing w:val="-3"/>
        </w:rPr>
        <w:t> </w:t>
      </w:r>
      <w:r>
        <w:rPr/>
        <w:t>pay under Data Compromise</w:t>
      </w:r>
      <w:r>
        <w:rPr>
          <w:spacing w:val="-2"/>
        </w:rPr>
        <w:t> </w:t>
      </w:r>
      <w:r>
        <w:rPr/>
        <w:t>Response</w:t>
      </w:r>
      <w:r>
        <w:rPr>
          <w:spacing w:val="-2"/>
        </w:rPr>
        <w:t> </w:t>
      </w:r>
      <w:r>
        <w:rPr/>
        <w:t>Expenses for</w:t>
      </w:r>
      <w:r>
        <w:rPr>
          <w:spacing w:val="-1"/>
        </w:rPr>
        <w:t> </w:t>
      </w:r>
      <w:r>
        <w:rPr/>
        <w:t>Public Relations and Reputational Harm coverages for “loss” arising from any one “personal data compromise” is the applicable sublimit for each of those coverages shown in the Cyber Suite Supplemental Declarations.</w:t>
      </w:r>
    </w:p>
    <w:p>
      <w:pPr>
        <w:pStyle w:val="BodyText"/>
        <w:spacing w:before="81"/>
        <w:ind w:left="1079" w:right="360"/>
        <w:jc w:val="both"/>
      </w:pPr>
      <w:r>
        <w:rPr/>
        <w:t>These sublimits are part of, and not in addition to, the First Party Annual Aggregate Limit shown in the Cyber Suite Supplemental Declarations. Public Relations coverage is also subject to a limit per “affected individual” as described in </w:t>
      </w:r>
      <w:r>
        <w:rPr>
          <w:b/>
        </w:rPr>
        <w:t>A.1.b.(5)</w:t>
      </w:r>
      <w:r>
        <w:rPr/>
        <w:t>.</w:t>
      </w:r>
    </w:p>
    <w:p>
      <w:pPr>
        <w:pStyle w:val="Heading1"/>
        <w:numPr>
          <w:ilvl w:val="0"/>
          <w:numId w:val="2"/>
        </w:numPr>
        <w:tabs>
          <w:tab w:pos="1077" w:val="left" w:leader="none"/>
        </w:tabs>
        <w:spacing w:line="240" w:lineRule="auto" w:before="78" w:after="0"/>
        <w:ind w:left="1077" w:right="0" w:hanging="358"/>
        <w:jc w:val="both"/>
      </w:pPr>
      <w:bookmarkStart w:name="b. Computer Attack Sublimit" w:id="1"/>
      <w:bookmarkEnd w:id="1"/>
      <w:r>
        <w:rPr>
          <w:b w:val="0"/>
        </w:rPr>
      </w:r>
      <w:r>
        <w:rPr/>
        <w:t>Computer</w:t>
      </w:r>
      <w:r>
        <w:rPr>
          <w:spacing w:val="-12"/>
        </w:rPr>
        <w:t> </w:t>
      </w:r>
      <w:r>
        <w:rPr/>
        <w:t>Attack</w:t>
      </w:r>
      <w:r>
        <w:rPr>
          <w:spacing w:val="-8"/>
        </w:rPr>
        <w:t> </w:t>
      </w:r>
      <w:r>
        <w:rPr>
          <w:spacing w:val="-2"/>
        </w:rPr>
        <w:t>Sublimit</w:t>
      </w:r>
    </w:p>
    <w:p>
      <w:pPr>
        <w:pStyle w:val="BodyText"/>
        <w:spacing w:before="79"/>
        <w:ind w:left="1079" w:right="357"/>
        <w:jc w:val="both"/>
      </w:pPr>
      <w:r>
        <w:rPr/>
        <w:t>The</w:t>
      </w:r>
      <w:r>
        <w:rPr>
          <w:spacing w:val="-2"/>
        </w:rPr>
        <w:t> </w:t>
      </w:r>
      <w:r>
        <w:rPr/>
        <w:t>most</w:t>
      </w:r>
      <w:r>
        <w:rPr>
          <w:spacing w:val="-2"/>
        </w:rPr>
        <w:t> </w:t>
      </w:r>
      <w:r>
        <w:rPr/>
        <w:t>we</w:t>
      </w:r>
      <w:r>
        <w:rPr>
          <w:spacing w:val="-2"/>
        </w:rPr>
        <w:t> </w:t>
      </w:r>
      <w:r>
        <w:rPr/>
        <w:t>will pay under Computer</w:t>
      </w:r>
      <w:r>
        <w:rPr>
          <w:spacing w:val="-1"/>
        </w:rPr>
        <w:t> </w:t>
      </w:r>
      <w:r>
        <w:rPr/>
        <w:t>Attack for</w:t>
      </w:r>
      <w:r>
        <w:rPr>
          <w:spacing w:val="-1"/>
        </w:rPr>
        <w:t> </w:t>
      </w:r>
      <w:r>
        <w:rPr/>
        <w:t>Public Relations coverage</w:t>
      </w:r>
      <w:r>
        <w:rPr>
          <w:spacing w:val="-2"/>
        </w:rPr>
        <w:t> </w:t>
      </w:r>
      <w:r>
        <w:rPr/>
        <w:t>for</w:t>
      </w:r>
      <w:r>
        <w:rPr>
          <w:spacing w:val="-1"/>
        </w:rPr>
        <w:t> </w:t>
      </w:r>
      <w:r>
        <w:rPr/>
        <w:t>“loss”</w:t>
      </w:r>
      <w:r>
        <w:rPr>
          <w:spacing w:val="-1"/>
        </w:rPr>
        <w:t> </w:t>
      </w:r>
      <w:r>
        <w:rPr/>
        <w:t>arising</w:t>
      </w:r>
      <w:r>
        <w:rPr>
          <w:spacing w:val="-2"/>
        </w:rPr>
        <w:t> </w:t>
      </w:r>
      <w:r>
        <w:rPr/>
        <w:t>from</w:t>
      </w:r>
      <w:r>
        <w:rPr>
          <w:spacing w:val="-2"/>
        </w:rPr>
        <w:t> </w:t>
      </w:r>
      <w:r>
        <w:rPr/>
        <w:t>any one “computer attack” is the applicable Public Relations sublimit shown in the Cyber Suite Supplemental Declarations. This sublimit is part of, and not in addition to, the First Party Annual Aggregate Limit shown in the Cyber Suite Supplemental Declarations.</w:t>
      </w:r>
    </w:p>
    <w:p>
      <w:pPr>
        <w:pStyle w:val="BodyText"/>
        <w:rPr>
          <w:sz w:val="18"/>
        </w:rPr>
      </w:pPr>
    </w:p>
    <w:p>
      <w:pPr>
        <w:pStyle w:val="BodyText"/>
        <w:rPr>
          <w:sz w:val="18"/>
        </w:rPr>
      </w:pPr>
    </w:p>
    <w:p>
      <w:pPr>
        <w:pStyle w:val="BodyText"/>
        <w:rPr>
          <w:sz w:val="18"/>
        </w:rPr>
      </w:pPr>
    </w:p>
    <w:p>
      <w:pPr>
        <w:pStyle w:val="BodyText"/>
        <w:rPr>
          <w:sz w:val="18"/>
        </w:rPr>
      </w:pPr>
    </w:p>
    <w:p>
      <w:pPr>
        <w:pStyle w:val="BodyText"/>
        <w:spacing w:before="200"/>
        <w:rPr>
          <w:sz w:val="18"/>
        </w:rPr>
      </w:pPr>
    </w:p>
    <w:p>
      <w:pPr>
        <w:spacing w:before="0"/>
        <w:ind w:left="360" w:right="0" w:firstLine="0"/>
        <w:jc w:val="left"/>
        <w:rPr>
          <w:b/>
          <w:sz w:val="18"/>
        </w:rPr>
      </w:pPr>
      <w:r>
        <w:rPr>
          <w:sz w:val="18"/>
        </w:rPr>
        <w:t>152363</w:t>
      </w:r>
      <w:r>
        <w:rPr>
          <w:spacing w:val="-3"/>
          <w:sz w:val="18"/>
        </w:rPr>
        <w:t> </w:t>
      </w:r>
      <w:r>
        <w:rPr>
          <w:sz w:val="18"/>
        </w:rPr>
        <w:t>(01/26)</w:t>
      </w:r>
      <w:r>
        <w:rPr>
          <w:spacing w:val="-2"/>
          <w:sz w:val="18"/>
        </w:rPr>
        <w:t> </w:t>
      </w:r>
      <w:r>
        <w:rPr>
          <w:sz w:val="18"/>
        </w:rPr>
        <w:t>©</w:t>
      </w:r>
      <w:r>
        <w:rPr>
          <w:spacing w:val="-5"/>
          <w:sz w:val="18"/>
        </w:rPr>
        <w:t> </w:t>
      </w:r>
      <w:r>
        <w:rPr>
          <w:sz w:val="18"/>
        </w:rPr>
        <w:t>2020,</w:t>
      </w:r>
      <w:r>
        <w:rPr>
          <w:spacing w:val="-1"/>
          <w:sz w:val="18"/>
        </w:rPr>
        <w:t> </w:t>
      </w:r>
      <w:r>
        <w:rPr>
          <w:sz w:val="18"/>
        </w:rPr>
        <w:t>The</w:t>
      </w:r>
      <w:r>
        <w:rPr>
          <w:spacing w:val="-4"/>
          <w:sz w:val="18"/>
        </w:rPr>
        <w:t> </w:t>
      </w:r>
      <w:r>
        <w:rPr>
          <w:sz w:val="18"/>
        </w:rPr>
        <w:t>Hartford</w:t>
      </w:r>
      <w:r>
        <w:rPr>
          <w:spacing w:val="-1"/>
          <w:sz w:val="18"/>
        </w:rPr>
        <w:t> </w:t>
      </w:r>
      <w:r>
        <w:rPr>
          <w:sz w:val="18"/>
        </w:rPr>
        <w:t>Steam Boiler</w:t>
      </w:r>
      <w:r>
        <w:rPr>
          <w:spacing w:val="-2"/>
          <w:sz w:val="18"/>
        </w:rPr>
        <w:t> </w:t>
      </w:r>
      <w:r>
        <w:rPr>
          <w:sz w:val="18"/>
        </w:rPr>
        <w:t>Inspection</w:t>
      </w:r>
      <w:r>
        <w:rPr>
          <w:spacing w:val="-1"/>
          <w:sz w:val="18"/>
        </w:rPr>
        <w:t> </w:t>
      </w:r>
      <w:r>
        <w:rPr>
          <w:sz w:val="18"/>
        </w:rPr>
        <w:t>and</w:t>
      </w:r>
      <w:r>
        <w:rPr>
          <w:spacing w:val="-3"/>
          <w:sz w:val="18"/>
        </w:rPr>
        <w:t> </w:t>
      </w:r>
      <w:r>
        <w:rPr>
          <w:sz w:val="18"/>
        </w:rPr>
        <w:t>Insurance</w:t>
      </w:r>
      <w:r>
        <w:rPr>
          <w:spacing w:val="-1"/>
          <w:sz w:val="18"/>
        </w:rPr>
        <w:t> </w:t>
      </w:r>
      <w:r>
        <w:rPr>
          <w:sz w:val="18"/>
        </w:rPr>
        <w:t>Company.</w:t>
      </w:r>
      <w:r>
        <w:rPr>
          <w:spacing w:val="44"/>
          <w:sz w:val="18"/>
        </w:rPr>
        <w:t> </w:t>
      </w:r>
      <w:r>
        <w:rPr>
          <w:sz w:val="18"/>
        </w:rPr>
        <w:t>All rights</w:t>
      </w:r>
      <w:r>
        <w:rPr>
          <w:spacing w:val="-1"/>
          <w:sz w:val="18"/>
        </w:rPr>
        <w:t> </w:t>
      </w:r>
      <w:r>
        <w:rPr>
          <w:sz w:val="18"/>
        </w:rPr>
        <w:t>reserved</w:t>
      </w:r>
      <w:r>
        <w:rPr>
          <w:spacing w:val="46"/>
          <w:sz w:val="18"/>
        </w:rPr>
        <w:t>  </w:t>
      </w:r>
      <w:r>
        <w:rPr>
          <w:sz w:val="18"/>
        </w:rPr>
        <w:t>.</w:t>
      </w:r>
      <w:r>
        <w:rPr>
          <w:spacing w:val="-1"/>
          <w:sz w:val="18"/>
        </w:rPr>
        <w:t> </w:t>
      </w:r>
      <w:r>
        <w:rPr>
          <w:sz w:val="18"/>
        </w:rPr>
        <w:t>Page</w:t>
      </w:r>
      <w:r>
        <w:rPr>
          <w:spacing w:val="-4"/>
          <w:sz w:val="18"/>
        </w:rPr>
        <w:t> </w:t>
      </w:r>
      <w:r>
        <w:rPr>
          <w:b/>
          <w:sz w:val="18"/>
        </w:rPr>
        <w:t>1</w:t>
      </w:r>
      <w:r>
        <w:rPr>
          <w:b/>
          <w:spacing w:val="-1"/>
          <w:sz w:val="18"/>
        </w:rPr>
        <w:t> </w:t>
      </w:r>
      <w:r>
        <w:rPr>
          <w:sz w:val="18"/>
        </w:rPr>
        <w:t>of</w:t>
      </w:r>
      <w:r>
        <w:rPr>
          <w:spacing w:val="-3"/>
          <w:sz w:val="18"/>
        </w:rPr>
        <w:t> </w:t>
      </w:r>
      <w:r>
        <w:rPr>
          <w:b/>
          <w:spacing w:val="-10"/>
          <w:sz w:val="18"/>
        </w:rPr>
        <w:t>3</w:t>
      </w:r>
    </w:p>
    <w:p>
      <w:pPr>
        <w:spacing w:after="0"/>
        <w:jc w:val="left"/>
        <w:rPr>
          <w:b/>
          <w:sz w:val="18"/>
        </w:rPr>
        <w:sectPr>
          <w:type w:val="continuous"/>
          <w:pgSz w:w="12240" w:h="15840"/>
          <w:pgMar w:top="1020" w:bottom="280" w:left="720" w:right="720"/>
        </w:sectPr>
      </w:pPr>
    </w:p>
    <w:p>
      <w:pPr>
        <w:pStyle w:val="BodyText"/>
        <w:spacing w:before="28"/>
        <w:rPr>
          <w:b/>
        </w:rPr>
      </w:pPr>
    </w:p>
    <w:p>
      <w:pPr>
        <w:pStyle w:val="Heading1"/>
        <w:numPr>
          <w:ilvl w:val="0"/>
          <w:numId w:val="2"/>
        </w:numPr>
        <w:tabs>
          <w:tab w:pos="1077" w:val="left" w:leader="none"/>
        </w:tabs>
        <w:spacing w:line="240" w:lineRule="auto" w:before="0" w:after="0"/>
        <w:ind w:left="1077" w:right="0" w:hanging="358"/>
        <w:jc w:val="both"/>
      </w:pPr>
      <w:bookmarkStart w:name="c. Cyber Extortion Sublimit" w:id="2"/>
      <w:bookmarkEnd w:id="2"/>
      <w:r>
        <w:rPr>
          <w:b w:val="0"/>
        </w:rPr>
      </w:r>
      <w:r>
        <w:rPr/>
        <w:t>Cyber</w:t>
      </w:r>
      <w:r>
        <w:rPr>
          <w:spacing w:val="-10"/>
        </w:rPr>
        <w:t> </w:t>
      </w:r>
      <w:r>
        <w:rPr/>
        <w:t>Extortion</w:t>
      </w:r>
      <w:r>
        <w:rPr>
          <w:spacing w:val="-8"/>
        </w:rPr>
        <w:t> </w:t>
      </w:r>
      <w:r>
        <w:rPr>
          <w:spacing w:val="-2"/>
        </w:rPr>
        <w:t>Sublimit</w:t>
      </w:r>
    </w:p>
    <w:p>
      <w:pPr>
        <w:pStyle w:val="BodyText"/>
        <w:spacing w:before="80"/>
        <w:ind w:left="1079" w:right="360"/>
        <w:jc w:val="both"/>
      </w:pPr>
      <w:r>
        <w:rPr/>
        <w:t>The</w:t>
      </w:r>
      <w:r>
        <w:rPr>
          <w:spacing w:val="-11"/>
        </w:rPr>
        <w:t> </w:t>
      </w:r>
      <w:r>
        <w:rPr/>
        <w:t>most</w:t>
      </w:r>
      <w:r>
        <w:rPr>
          <w:spacing w:val="-11"/>
        </w:rPr>
        <w:t> </w:t>
      </w:r>
      <w:r>
        <w:rPr/>
        <w:t>we</w:t>
      </w:r>
      <w:r>
        <w:rPr>
          <w:spacing w:val="-11"/>
        </w:rPr>
        <w:t> </w:t>
      </w:r>
      <w:r>
        <w:rPr/>
        <w:t>will</w:t>
      </w:r>
      <w:r>
        <w:rPr>
          <w:spacing w:val="-12"/>
        </w:rPr>
        <w:t> </w:t>
      </w:r>
      <w:r>
        <w:rPr/>
        <w:t>pay</w:t>
      </w:r>
      <w:r>
        <w:rPr>
          <w:spacing w:val="-12"/>
        </w:rPr>
        <w:t> </w:t>
      </w:r>
      <w:r>
        <w:rPr/>
        <w:t>under</w:t>
      </w:r>
      <w:r>
        <w:rPr>
          <w:spacing w:val="-8"/>
        </w:rPr>
        <w:t> </w:t>
      </w:r>
      <w:r>
        <w:rPr/>
        <w:t>Cyber</w:t>
      </w:r>
      <w:r>
        <w:rPr>
          <w:spacing w:val="-10"/>
        </w:rPr>
        <w:t> </w:t>
      </w:r>
      <w:r>
        <w:rPr/>
        <w:t>Extortion</w:t>
      </w:r>
      <w:r>
        <w:rPr>
          <w:spacing w:val="-14"/>
        </w:rPr>
        <w:t> </w:t>
      </w:r>
      <w:r>
        <w:rPr/>
        <w:t>coverage</w:t>
      </w:r>
      <w:r>
        <w:rPr>
          <w:spacing w:val="-11"/>
        </w:rPr>
        <w:t> </w:t>
      </w:r>
      <w:r>
        <w:rPr/>
        <w:t>for</w:t>
      </w:r>
      <w:r>
        <w:rPr>
          <w:spacing w:val="-13"/>
        </w:rPr>
        <w:t> </w:t>
      </w:r>
      <w:r>
        <w:rPr/>
        <w:t>“loss”</w:t>
      </w:r>
      <w:r>
        <w:rPr>
          <w:spacing w:val="-13"/>
        </w:rPr>
        <w:t> </w:t>
      </w:r>
      <w:r>
        <w:rPr/>
        <w:t>arising</w:t>
      </w:r>
      <w:r>
        <w:rPr>
          <w:spacing w:val="-11"/>
        </w:rPr>
        <w:t> </w:t>
      </w:r>
      <w:r>
        <w:rPr/>
        <w:t>from</w:t>
      </w:r>
      <w:r>
        <w:rPr>
          <w:spacing w:val="-11"/>
        </w:rPr>
        <w:t> </w:t>
      </w:r>
      <w:r>
        <w:rPr/>
        <w:t>any</w:t>
      </w:r>
      <w:r>
        <w:rPr>
          <w:spacing w:val="-12"/>
        </w:rPr>
        <w:t> </w:t>
      </w:r>
      <w:r>
        <w:rPr/>
        <w:t>one</w:t>
      </w:r>
      <w:r>
        <w:rPr>
          <w:spacing w:val="-11"/>
        </w:rPr>
        <w:t> </w:t>
      </w:r>
      <w:r>
        <w:rPr/>
        <w:t>“cyber</w:t>
      </w:r>
      <w:r>
        <w:rPr>
          <w:spacing w:val="-13"/>
        </w:rPr>
        <w:t> </w:t>
      </w:r>
      <w:r>
        <w:rPr/>
        <w:t>extortion</w:t>
      </w:r>
      <w:r>
        <w:rPr>
          <w:spacing w:val="-11"/>
        </w:rPr>
        <w:t> </w:t>
      </w:r>
      <w:r>
        <w:rPr/>
        <w:t>threat” is</w:t>
      </w:r>
      <w:r>
        <w:rPr>
          <w:spacing w:val="-7"/>
        </w:rPr>
        <w:t> </w:t>
      </w:r>
      <w:r>
        <w:rPr/>
        <w:t>the</w:t>
      </w:r>
      <w:r>
        <w:rPr>
          <w:spacing w:val="-7"/>
        </w:rPr>
        <w:t> </w:t>
      </w:r>
      <w:r>
        <w:rPr/>
        <w:t>applicable</w:t>
      </w:r>
      <w:r>
        <w:rPr>
          <w:spacing w:val="-9"/>
        </w:rPr>
        <w:t> </w:t>
      </w:r>
      <w:r>
        <w:rPr/>
        <w:t>sublimit</w:t>
      </w:r>
      <w:r>
        <w:rPr>
          <w:spacing w:val="-6"/>
        </w:rPr>
        <w:t> </w:t>
      </w:r>
      <w:r>
        <w:rPr/>
        <w:t>shown</w:t>
      </w:r>
      <w:r>
        <w:rPr>
          <w:spacing w:val="-7"/>
        </w:rPr>
        <w:t> </w:t>
      </w:r>
      <w:r>
        <w:rPr/>
        <w:t>in</w:t>
      </w:r>
      <w:r>
        <w:rPr>
          <w:spacing w:val="-9"/>
        </w:rPr>
        <w:t> </w:t>
      </w:r>
      <w:r>
        <w:rPr/>
        <w:t>the</w:t>
      </w:r>
      <w:r>
        <w:rPr>
          <w:spacing w:val="-7"/>
        </w:rPr>
        <w:t> </w:t>
      </w:r>
      <w:r>
        <w:rPr/>
        <w:t>Cyber</w:t>
      </w:r>
      <w:r>
        <w:rPr>
          <w:spacing w:val="-5"/>
        </w:rPr>
        <w:t> </w:t>
      </w:r>
      <w:r>
        <w:rPr/>
        <w:t>Suite</w:t>
      </w:r>
      <w:r>
        <w:rPr>
          <w:spacing w:val="-7"/>
        </w:rPr>
        <w:t> </w:t>
      </w:r>
      <w:r>
        <w:rPr/>
        <w:t>Supplemental</w:t>
      </w:r>
      <w:r>
        <w:rPr>
          <w:spacing w:val="-7"/>
        </w:rPr>
        <w:t> </w:t>
      </w:r>
      <w:r>
        <w:rPr/>
        <w:t>Declarations.</w:t>
      </w:r>
      <w:r>
        <w:rPr>
          <w:spacing w:val="39"/>
        </w:rPr>
        <w:t> </w:t>
      </w:r>
      <w:r>
        <w:rPr/>
        <w:t>This</w:t>
      </w:r>
      <w:r>
        <w:rPr>
          <w:spacing w:val="-7"/>
        </w:rPr>
        <w:t> </w:t>
      </w:r>
      <w:r>
        <w:rPr/>
        <w:t>sublimit</w:t>
      </w:r>
      <w:r>
        <w:rPr>
          <w:spacing w:val="-6"/>
        </w:rPr>
        <w:t> </w:t>
      </w:r>
      <w:r>
        <w:rPr/>
        <w:t>is</w:t>
      </w:r>
      <w:r>
        <w:rPr>
          <w:spacing w:val="-7"/>
        </w:rPr>
        <w:t> </w:t>
      </w:r>
      <w:r>
        <w:rPr/>
        <w:t>part</w:t>
      </w:r>
      <w:r>
        <w:rPr>
          <w:spacing w:val="-6"/>
        </w:rPr>
        <w:t> </w:t>
      </w:r>
      <w:r>
        <w:rPr/>
        <w:t>of,</w:t>
      </w:r>
      <w:r>
        <w:rPr>
          <w:spacing w:val="-6"/>
        </w:rPr>
        <w:t> </w:t>
      </w:r>
      <w:r>
        <w:rPr/>
        <w:t>and not in addition to, the First Party Annual Aggregate Limit shown in the Cyber Suite Supplemental </w:t>
      </w:r>
      <w:r>
        <w:rPr>
          <w:spacing w:val="-2"/>
        </w:rPr>
        <w:t>Declarations.</w:t>
      </w:r>
    </w:p>
    <w:p>
      <w:pPr>
        <w:pStyle w:val="Heading1"/>
        <w:numPr>
          <w:ilvl w:val="0"/>
          <w:numId w:val="2"/>
        </w:numPr>
        <w:tabs>
          <w:tab w:pos="1079" w:val="left" w:leader="none"/>
        </w:tabs>
        <w:spacing w:line="240" w:lineRule="auto" w:before="71" w:after="0"/>
        <w:ind w:left="1079" w:right="0" w:hanging="359"/>
        <w:jc w:val="both"/>
        <w:rPr>
          <w:sz w:val="18"/>
        </w:rPr>
      </w:pPr>
      <w:r>
        <w:rPr/>
        <w:t>Misdirected</w:t>
      </w:r>
      <w:r>
        <w:rPr>
          <w:spacing w:val="-10"/>
        </w:rPr>
        <w:t> </w:t>
      </w:r>
      <w:r>
        <w:rPr/>
        <w:t>Payment</w:t>
      </w:r>
      <w:r>
        <w:rPr>
          <w:spacing w:val="-10"/>
        </w:rPr>
        <w:t> </w:t>
      </w:r>
      <w:r>
        <w:rPr/>
        <w:t>Fraud</w:t>
      </w:r>
      <w:r>
        <w:rPr>
          <w:spacing w:val="-9"/>
        </w:rPr>
        <w:t> </w:t>
      </w:r>
      <w:r>
        <w:rPr>
          <w:spacing w:val="-2"/>
        </w:rPr>
        <w:t>Sublimit</w:t>
      </w:r>
    </w:p>
    <w:p>
      <w:pPr>
        <w:pStyle w:val="BodyText"/>
        <w:spacing w:line="230" w:lineRule="auto" w:before="77"/>
        <w:ind w:left="1080" w:right="356"/>
        <w:jc w:val="both"/>
      </w:pPr>
      <w:r>
        <w:rPr/>
        <w:t>The most we will pay under Misdirected Payment Fraud coverage for “loss” arising from one “wrongful transfer</w:t>
      </w:r>
      <w:r>
        <w:rPr>
          <w:spacing w:val="-13"/>
        </w:rPr>
        <w:t> </w:t>
      </w:r>
      <w:r>
        <w:rPr/>
        <w:t>event”</w:t>
      </w:r>
      <w:r>
        <w:rPr>
          <w:spacing w:val="-13"/>
        </w:rPr>
        <w:t> </w:t>
      </w:r>
      <w:r>
        <w:rPr/>
        <w:t>is</w:t>
      </w:r>
      <w:r>
        <w:rPr>
          <w:spacing w:val="-12"/>
        </w:rPr>
        <w:t> </w:t>
      </w:r>
      <w:r>
        <w:rPr/>
        <w:t>the</w:t>
      </w:r>
      <w:r>
        <w:rPr>
          <w:spacing w:val="-14"/>
        </w:rPr>
        <w:t> </w:t>
      </w:r>
      <w:r>
        <w:rPr/>
        <w:t>applicable</w:t>
      </w:r>
      <w:r>
        <w:rPr>
          <w:spacing w:val="-14"/>
        </w:rPr>
        <w:t> </w:t>
      </w:r>
      <w:r>
        <w:rPr/>
        <w:t>sublimit</w:t>
      </w:r>
      <w:r>
        <w:rPr>
          <w:spacing w:val="-14"/>
        </w:rPr>
        <w:t> </w:t>
      </w:r>
      <w:r>
        <w:rPr/>
        <w:t>shown</w:t>
      </w:r>
      <w:r>
        <w:rPr>
          <w:spacing w:val="-13"/>
        </w:rPr>
        <w:t> </w:t>
      </w:r>
      <w:r>
        <w:rPr/>
        <w:t>in</w:t>
      </w:r>
      <w:r>
        <w:rPr>
          <w:spacing w:val="-14"/>
        </w:rPr>
        <w:t> </w:t>
      </w:r>
      <w:r>
        <w:rPr/>
        <w:t>the</w:t>
      </w:r>
      <w:r>
        <w:rPr>
          <w:spacing w:val="-14"/>
        </w:rPr>
        <w:t> </w:t>
      </w:r>
      <w:r>
        <w:rPr/>
        <w:t>Cyber</w:t>
      </w:r>
      <w:r>
        <w:rPr>
          <w:spacing w:val="-13"/>
        </w:rPr>
        <w:t> </w:t>
      </w:r>
      <w:r>
        <w:rPr/>
        <w:t>Suite</w:t>
      </w:r>
      <w:r>
        <w:rPr>
          <w:spacing w:val="-14"/>
        </w:rPr>
        <w:t> </w:t>
      </w:r>
      <w:r>
        <w:rPr/>
        <w:t>Supplemental</w:t>
      </w:r>
      <w:r>
        <w:rPr>
          <w:spacing w:val="-14"/>
        </w:rPr>
        <w:t> </w:t>
      </w:r>
      <w:r>
        <w:rPr/>
        <w:t>Declarations.</w:t>
      </w:r>
      <w:r>
        <w:rPr>
          <w:spacing w:val="29"/>
        </w:rPr>
        <w:t> </w:t>
      </w:r>
      <w:r>
        <w:rPr/>
        <w:t>This</w:t>
      </w:r>
      <w:r>
        <w:rPr>
          <w:spacing w:val="-12"/>
        </w:rPr>
        <w:t> </w:t>
      </w:r>
      <w:r>
        <w:rPr/>
        <w:t>sublimit is part of, and not in addition to, the First Party Annual Aggregate Limit shown in the Cyber Suite Supplemental Declarations.</w:t>
      </w:r>
    </w:p>
    <w:p>
      <w:pPr>
        <w:pStyle w:val="Heading1"/>
        <w:numPr>
          <w:ilvl w:val="0"/>
          <w:numId w:val="2"/>
        </w:numPr>
        <w:tabs>
          <w:tab w:pos="1078" w:val="left" w:leader="none"/>
        </w:tabs>
        <w:spacing w:line="240" w:lineRule="auto" w:before="70" w:after="0"/>
        <w:ind w:left="1078" w:right="0" w:hanging="358"/>
        <w:jc w:val="both"/>
      </w:pPr>
      <w:r>
        <w:rPr/>
        <w:t>Computer</w:t>
      </w:r>
      <w:r>
        <w:rPr>
          <w:spacing w:val="-13"/>
        </w:rPr>
        <w:t> </w:t>
      </w:r>
      <w:r>
        <w:rPr/>
        <w:t>Fraud</w:t>
      </w:r>
      <w:r>
        <w:rPr>
          <w:spacing w:val="-7"/>
        </w:rPr>
        <w:t> </w:t>
      </w:r>
      <w:r>
        <w:rPr>
          <w:spacing w:val="-2"/>
        </w:rPr>
        <w:t>Sublimit</w:t>
      </w:r>
    </w:p>
    <w:p>
      <w:pPr>
        <w:pStyle w:val="BodyText"/>
        <w:spacing w:line="230" w:lineRule="auto" w:before="77"/>
        <w:ind w:left="1080" w:right="360"/>
        <w:jc w:val="both"/>
      </w:pPr>
      <w:r>
        <w:rPr/>
        <w:t>The</w:t>
      </w:r>
      <w:r>
        <w:rPr>
          <w:spacing w:val="-7"/>
        </w:rPr>
        <w:t> </w:t>
      </w:r>
      <w:r>
        <w:rPr/>
        <w:t>most</w:t>
      </w:r>
      <w:r>
        <w:rPr>
          <w:spacing w:val="-6"/>
        </w:rPr>
        <w:t> </w:t>
      </w:r>
      <w:r>
        <w:rPr/>
        <w:t>we</w:t>
      </w:r>
      <w:r>
        <w:rPr>
          <w:spacing w:val="-7"/>
        </w:rPr>
        <w:t> </w:t>
      </w:r>
      <w:r>
        <w:rPr/>
        <w:t>will</w:t>
      </w:r>
      <w:r>
        <w:rPr>
          <w:spacing w:val="-7"/>
        </w:rPr>
        <w:t> </w:t>
      </w:r>
      <w:r>
        <w:rPr/>
        <w:t>pay</w:t>
      </w:r>
      <w:r>
        <w:rPr>
          <w:spacing w:val="-5"/>
        </w:rPr>
        <w:t> </w:t>
      </w:r>
      <w:r>
        <w:rPr/>
        <w:t>under</w:t>
      </w:r>
      <w:r>
        <w:rPr>
          <w:spacing w:val="-3"/>
        </w:rPr>
        <w:t> </w:t>
      </w:r>
      <w:r>
        <w:rPr/>
        <w:t>Computer</w:t>
      </w:r>
      <w:r>
        <w:rPr>
          <w:spacing w:val="-5"/>
        </w:rPr>
        <w:t> </w:t>
      </w:r>
      <w:r>
        <w:rPr/>
        <w:t>Fraud</w:t>
      </w:r>
      <w:r>
        <w:rPr>
          <w:spacing w:val="-7"/>
        </w:rPr>
        <w:t> </w:t>
      </w:r>
      <w:r>
        <w:rPr/>
        <w:t>coverage</w:t>
      </w:r>
      <w:r>
        <w:rPr>
          <w:spacing w:val="-4"/>
        </w:rPr>
        <w:t> </w:t>
      </w:r>
      <w:r>
        <w:rPr/>
        <w:t>for</w:t>
      </w:r>
      <w:r>
        <w:rPr>
          <w:spacing w:val="-5"/>
        </w:rPr>
        <w:t> </w:t>
      </w:r>
      <w:r>
        <w:rPr/>
        <w:t>“loss”</w:t>
      </w:r>
      <w:r>
        <w:rPr>
          <w:spacing w:val="-5"/>
        </w:rPr>
        <w:t> </w:t>
      </w:r>
      <w:r>
        <w:rPr/>
        <w:t>arising</w:t>
      </w:r>
      <w:r>
        <w:rPr>
          <w:spacing w:val="-7"/>
        </w:rPr>
        <w:t> </w:t>
      </w:r>
      <w:r>
        <w:rPr/>
        <w:t>from</w:t>
      </w:r>
      <w:r>
        <w:rPr>
          <w:spacing w:val="-7"/>
        </w:rPr>
        <w:t> </w:t>
      </w:r>
      <w:r>
        <w:rPr/>
        <w:t>one</w:t>
      </w:r>
      <w:r>
        <w:rPr>
          <w:spacing w:val="-7"/>
        </w:rPr>
        <w:t> </w:t>
      </w:r>
      <w:r>
        <w:rPr/>
        <w:t>“computer</w:t>
      </w:r>
      <w:r>
        <w:rPr>
          <w:spacing w:val="-5"/>
        </w:rPr>
        <w:t> </w:t>
      </w:r>
      <w:r>
        <w:rPr/>
        <w:t>fraud</w:t>
      </w:r>
      <w:r>
        <w:rPr>
          <w:spacing w:val="-7"/>
        </w:rPr>
        <w:t> </w:t>
      </w:r>
      <w:r>
        <w:rPr/>
        <w:t>event”</w:t>
      </w:r>
      <w:r>
        <w:rPr>
          <w:spacing w:val="-5"/>
        </w:rPr>
        <w:t> </w:t>
      </w:r>
      <w:r>
        <w:rPr/>
        <w:t>is the applicable sublimit shown in the Cyber Suite Supplemental Declarations.</w:t>
      </w:r>
      <w:r>
        <w:rPr>
          <w:spacing w:val="40"/>
        </w:rPr>
        <w:t> </w:t>
      </w:r>
      <w:r>
        <w:rPr/>
        <w:t>This sublimit is part of, and not in addition to, the First Party Annual Aggregate Limit shown in the Cyber Suite Supplemental </w:t>
      </w:r>
      <w:r>
        <w:rPr>
          <w:spacing w:val="-2"/>
        </w:rPr>
        <w:t>Declarations.</w:t>
      </w:r>
    </w:p>
    <w:p>
      <w:pPr>
        <w:pStyle w:val="Heading1"/>
        <w:numPr>
          <w:ilvl w:val="0"/>
          <w:numId w:val="2"/>
        </w:numPr>
        <w:tabs>
          <w:tab w:pos="1077" w:val="left" w:leader="none"/>
        </w:tabs>
        <w:spacing w:line="240" w:lineRule="auto" w:before="69" w:after="0"/>
        <w:ind w:left="1077" w:right="0" w:hanging="358"/>
        <w:jc w:val="both"/>
      </w:pPr>
      <w:bookmarkStart w:name="f. Telecommunications Fraud Sublimit" w:id="3"/>
      <w:bookmarkEnd w:id="3"/>
      <w:r>
        <w:rPr>
          <w:b w:val="0"/>
        </w:rPr>
      </w:r>
      <w:r>
        <w:rPr>
          <w:spacing w:val="-2"/>
        </w:rPr>
        <w:t>Telecommunications</w:t>
      </w:r>
      <w:r>
        <w:rPr>
          <w:spacing w:val="8"/>
        </w:rPr>
        <w:t> </w:t>
      </w:r>
      <w:r>
        <w:rPr>
          <w:spacing w:val="-2"/>
        </w:rPr>
        <w:t>Fraud</w:t>
      </w:r>
      <w:r>
        <w:rPr>
          <w:spacing w:val="9"/>
        </w:rPr>
        <w:t> </w:t>
      </w:r>
      <w:r>
        <w:rPr>
          <w:spacing w:val="-2"/>
        </w:rPr>
        <w:t>Sublimit</w:t>
      </w:r>
    </w:p>
    <w:p>
      <w:pPr>
        <w:pStyle w:val="BodyText"/>
        <w:spacing w:line="230" w:lineRule="auto" w:before="78"/>
        <w:ind w:left="1079" w:right="360"/>
        <w:jc w:val="both"/>
      </w:pPr>
      <w:r>
        <w:rPr/>
        <w:t>The most we will pay under Telecommunications Fraud coverage for “loss” arising from one “computer attack” on a “telecommunications system” is the applicable limit shown in the Cyber Suite Supplemental Declarations. This sublimit is part of, and not in addition to, the First Party Annual Aggregate Limit shown in the Cyber Suite Supplemental Declarations.</w:t>
      </w:r>
    </w:p>
    <w:p>
      <w:pPr>
        <w:pStyle w:val="Heading1"/>
        <w:numPr>
          <w:ilvl w:val="0"/>
          <w:numId w:val="2"/>
        </w:numPr>
        <w:tabs>
          <w:tab w:pos="1077" w:val="left" w:leader="none"/>
        </w:tabs>
        <w:spacing w:line="240" w:lineRule="auto" w:before="69" w:after="0"/>
        <w:ind w:left="1077" w:right="0" w:hanging="358"/>
        <w:jc w:val="both"/>
      </w:pPr>
      <w:bookmarkStart w:name="g. Reward Payments Sublimit" w:id="4"/>
      <w:bookmarkEnd w:id="4"/>
      <w:r>
        <w:rPr>
          <w:b w:val="0"/>
        </w:rPr>
      </w:r>
      <w:r>
        <w:rPr/>
        <w:t>Reward</w:t>
      </w:r>
      <w:r>
        <w:rPr>
          <w:spacing w:val="-8"/>
        </w:rPr>
        <w:t> </w:t>
      </w:r>
      <w:r>
        <w:rPr/>
        <w:t>Payments</w:t>
      </w:r>
      <w:r>
        <w:rPr>
          <w:spacing w:val="-9"/>
        </w:rPr>
        <w:t> </w:t>
      </w:r>
      <w:r>
        <w:rPr>
          <w:spacing w:val="-2"/>
        </w:rPr>
        <w:t>Sublimit</w:t>
      </w:r>
    </w:p>
    <w:p>
      <w:pPr>
        <w:pStyle w:val="BodyText"/>
        <w:spacing w:line="228" w:lineRule="auto" w:before="79"/>
        <w:ind w:left="1079" w:right="360"/>
        <w:jc w:val="both"/>
      </w:pPr>
      <w:r>
        <w:rPr/>
        <w:t>The</w:t>
      </w:r>
      <w:r>
        <w:rPr>
          <w:spacing w:val="-11"/>
        </w:rPr>
        <w:t> </w:t>
      </w:r>
      <w:r>
        <w:rPr/>
        <w:t>Reward</w:t>
      </w:r>
      <w:r>
        <w:rPr>
          <w:spacing w:val="-9"/>
        </w:rPr>
        <w:t> </w:t>
      </w:r>
      <w:r>
        <w:rPr/>
        <w:t>Payment</w:t>
      </w:r>
      <w:r>
        <w:rPr>
          <w:spacing w:val="-9"/>
        </w:rPr>
        <w:t> </w:t>
      </w:r>
      <w:r>
        <w:rPr/>
        <w:t>Sublimit</w:t>
      </w:r>
      <w:r>
        <w:rPr>
          <w:spacing w:val="-11"/>
        </w:rPr>
        <w:t> </w:t>
      </w:r>
      <w:r>
        <w:rPr/>
        <w:t>shown</w:t>
      </w:r>
      <w:r>
        <w:rPr>
          <w:spacing w:val="-9"/>
        </w:rPr>
        <w:t> </w:t>
      </w:r>
      <w:r>
        <w:rPr/>
        <w:t>in</w:t>
      </w:r>
      <w:r>
        <w:rPr>
          <w:spacing w:val="-9"/>
        </w:rPr>
        <w:t> </w:t>
      </w:r>
      <w:r>
        <w:rPr/>
        <w:t>the</w:t>
      </w:r>
      <w:r>
        <w:rPr>
          <w:spacing w:val="-11"/>
        </w:rPr>
        <w:t> </w:t>
      </w:r>
      <w:r>
        <w:rPr/>
        <w:t>Cyber</w:t>
      </w:r>
      <w:r>
        <w:rPr>
          <w:spacing w:val="-8"/>
        </w:rPr>
        <w:t> </w:t>
      </w:r>
      <w:r>
        <w:rPr/>
        <w:t>Suite</w:t>
      </w:r>
      <w:r>
        <w:rPr>
          <w:spacing w:val="-11"/>
        </w:rPr>
        <w:t> </w:t>
      </w:r>
      <w:r>
        <w:rPr/>
        <w:t>Supplemental</w:t>
      </w:r>
      <w:r>
        <w:rPr>
          <w:spacing w:val="-10"/>
        </w:rPr>
        <w:t> </w:t>
      </w:r>
      <w:r>
        <w:rPr/>
        <w:t>Declarations</w:t>
      </w:r>
      <w:r>
        <w:rPr>
          <w:spacing w:val="-10"/>
        </w:rPr>
        <w:t> </w:t>
      </w:r>
      <w:r>
        <w:rPr/>
        <w:t>is</w:t>
      </w:r>
      <w:r>
        <w:rPr>
          <w:spacing w:val="-10"/>
        </w:rPr>
        <w:t> </w:t>
      </w:r>
      <w:r>
        <w:rPr/>
        <w:t>the</w:t>
      </w:r>
      <w:r>
        <w:rPr>
          <w:spacing w:val="-9"/>
        </w:rPr>
        <w:t> </w:t>
      </w:r>
      <w:r>
        <w:rPr/>
        <w:t>most</w:t>
      </w:r>
      <w:r>
        <w:rPr>
          <w:spacing w:val="-9"/>
        </w:rPr>
        <w:t> </w:t>
      </w:r>
      <w:r>
        <w:rPr/>
        <w:t>we</w:t>
      </w:r>
      <w:r>
        <w:rPr>
          <w:spacing w:val="-11"/>
        </w:rPr>
        <w:t> </w:t>
      </w:r>
      <w:r>
        <w:rPr/>
        <w:t>will</w:t>
      </w:r>
      <w:r>
        <w:rPr>
          <w:spacing w:val="-10"/>
        </w:rPr>
        <w:t> </w:t>
      </w:r>
      <w:r>
        <w:rPr/>
        <w:t>pay for</w:t>
      </w:r>
      <w:r>
        <w:rPr>
          <w:spacing w:val="-3"/>
        </w:rPr>
        <w:t> </w:t>
      </w:r>
      <w:r>
        <w:rPr/>
        <w:t>all</w:t>
      </w:r>
      <w:r>
        <w:rPr>
          <w:spacing w:val="-3"/>
        </w:rPr>
        <w:t> </w:t>
      </w:r>
      <w:r>
        <w:rPr/>
        <w:t>“reward</w:t>
      </w:r>
      <w:r>
        <w:rPr>
          <w:spacing w:val="-2"/>
        </w:rPr>
        <w:t> </w:t>
      </w:r>
      <w:r>
        <w:rPr/>
        <w:t>payments”</w:t>
      </w:r>
      <w:r>
        <w:rPr>
          <w:spacing w:val="-3"/>
        </w:rPr>
        <w:t> </w:t>
      </w:r>
      <w:r>
        <w:rPr/>
        <w:t>resulting</w:t>
      </w:r>
      <w:r>
        <w:rPr>
          <w:spacing w:val="-2"/>
        </w:rPr>
        <w:t> </w:t>
      </w:r>
      <w:r>
        <w:rPr/>
        <w:t>from</w:t>
      </w:r>
      <w:r>
        <w:rPr>
          <w:spacing w:val="-2"/>
        </w:rPr>
        <w:t> </w:t>
      </w:r>
      <w:r>
        <w:rPr/>
        <w:t>a</w:t>
      </w:r>
      <w:r>
        <w:rPr>
          <w:spacing w:val="-2"/>
        </w:rPr>
        <w:t> </w:t>
      </w:r>
      <w:r>
        <w:rPr/>
        <w:t>“personal</w:t>
      </w:r>
      <w:r>
        <w:rPr>
          <w:spacing w:val="-3"/>
        </w:rPr>
        <w:t> </w:t>
      </w:r>
      <w:r>
        <w:rPr/>
        <w:t>data</w:t>
      </w:r>
      <w:r>
        <w:rPr>
          <w:spacing w:val="-4"/>
        </w:rPr>
        <w:t> </w:t>
      </w:r>
      <w:r>
        <w:rPr/>
        <w:t>compromise”,</w:t>
      </w:r>
      <w:r>
        <w:rPr>
          <w:spacing w:val="-4"/>
        </w:rPr>
        <w:t> </w:t>
      </w:r>
      <w:r>
        <w:rPr/>
        <w:t>“computer</w:t>
      </w:r>
      <w:r>
        <w:rPr>
          <w:spacing w:val="-1"/>
        </w:rPr>
        <w:t> </w:t>
      </w:r>
      <w:r>
        <w:rPr/>
        <w:t>attack”,</w:t>
      </w:r>
      <w:r>
        <w:rPr>
          <w:spacing w:val="-4"/>
        </w:rPr>
        <w:t> </w:t>
      </w:r>
      <w:r>
        <w:rPr/>
        <w:t>“cyber</w:t>
      </w:r>
      <w:r>
        <w:rPr>
          <w:spacing w:val="-3"/>
        </w:rPr>
        <w:t> </w:t>
      </w:r>
      <w:r>
        <w:rPr/>
        <w:t>extortion threat”, “wrongful transfer event” or “computer fraud event” in any one “policy period”.</w:t>
      </w:r>
    </w:p>
    <w:p>
      <w:pPr>
        <w:pStyle w:val="BodyText"/>
        <w:spacing w:line="230" w:lineRule="auto" w:before="82"/>
        <w:ind w:left="1079" w:right="362"/>
        <w:jc w:val="both"/>
      </w:pPr>
      <w:r>
        <w:rPr/>
        <w:t>This sublimit is part of, and not in addition to, the First Party Annual Aggregate Limit shown in the Cyber Suite Supplemental Declarations.</w:t>
      </w:r>
    </w:p>
    <w:p>
      <w:pPr>
        <w:pStyle w:val="ListParagraph"/>
        <w:numPr>
          <w:ilvl w:val="0"/>
          <w:numId w:val="1"/>
        </w:numPr>
        <w:tabs>
          <w:tab w:pos="718" w:val="left" w:leader="none"/>
        </w:tabs>
        <w:spacing w:line="240" w:lineRule="auto" w:before="82" w:after="0"/>
        <w:ind w:left="718" w:right="0" w:hanging="358"/>
        <w:jc w:val="both"/>
        <w:rPr>
          <w:sz w:val="20"/>
        </w:rPr>
      </w:pPr>
      <w:r>
        <w:rPr>
          <w:b/>
          <w:sz w:val="20"/>
        </w:rPr>
        <w:t>C.</w:t>
      </w:r>
      <w:r>
        <w:rPr>
          <w:b/>
          <w:spacing w:val="-12"/>
          <w:sz w:val="20"/>
        </w:rPr>
        <w:t> </w:t>
      </w:r>
      <w:r>
        <w:rPr>
          <w:b/>
          <w:sz w:val="20"/>
        </w:rPr>
        <w:t>LIMITS</w:t>
      </w:r>
      <w:r>
        <w:rPr>
          <w:b/>
          <w:spacing w:val="-12"/>
          <w:sz w:val="20"/>
        </w:rPr>
        <w:t> </w:t>
      </w:r>
      <w:r>
        <w:rPr>
          <w:b/>
          <w:sz w:val="20"/>
        </w:rPr>
        <w:t>OF</w:t>
      </w:r>
      <w:r>
        <w:rPr>
          <w:b/>
          <w:spacing w:val="-10"/>
          <w:sz w:val="20"/>
        </w:rPr>
        <w:t> </w:t>
      </w:r>
      <w:r>
        <w:rPr>
          <w:b/>
          <w:sz w:val="20"/>
        </w:rPr>
        <w:t>INSURANCE</w:t>
      </w:r>
      <w:r>
        <w:rPr>
          <w:sz w:val="20"/>
        </w:rPr>
        <w:t>,</w:t>
      </w:r>
      <w:r>
        <w:rPr>
          <w:spacing w:val="-12"/>
          <w:sz w:val="20"/>
        </w:rPr>
        <w:t> </w:t>
      </w:r>
      <w:r>
        <w:rPr>
          <w:b/>
          <w:sz w:val="20"/>
        </w:rPr>
        <w:t>3.</w:t>
      </w:r>
      <w:r>
        <w:rPr>
          <w:b/>
          <w:spacing w:val="-11"/>
          <w:sz w:val="20"/>
        </w:rPr>
        <w:t> </w:t>
      </w:r>
      <w:r>
        <w:rPr>
          <w:b/>
          <w:sz w:val="20"/>
        </w:rPr>
        <w:t>Application</w:t>
      </w:r>
      <w:r>
        <w:rPr>
          <w:b/>
          <w:spacing w:val="-10"/>
          <w:sz w:val="20"/>
        </w:rPr>
        <w:t> </w:t>
      </w:r>
      <w:r>
        <w:rPr>
          <w:b/>
          <w:sz w:val="20"/>
        </w:rPr>
        <w:t>of</w:t>
      </w:r>
      <w:r>
        <w:rPr>
          <w:b/>
          <w:spacing w:val="-11"/>
          <w:sz w:val="20"/>
        </w:rPr>
        <w:t> </w:t>
      </w:r>
      <w:r>
        <w:rPr>
          <w:b/>
          <w:sz w:val="20"/>
        </w:rPr>
        <w:t>Limits</w:t>
      </w:r>
      <w:r>
        <w:rPr>
          <w:sz w:val="20"/>
        </w:rPr>
        <w:t>,</w:t>
      </w:r>
      <w:r>
        <w:rPr>
          <w:spacing w:val="-11"/>
          <w:sz w:val="20"/>
        </w:rPr>
        <w:t> </w:t>
      </w:r>
      <w:r>
        <w:rPr>
          <w:sz w:val="20"/>
        </w:rPr>
        <w:t>paragraph</w:t>
      </w:r>
      <w:r>
        <w:rPr>
          <w:spacing w:val="-11"/>
          <w:sz w:val="20"/>
        </w:rPr>
        <w:t> </w:t>
      </w:r>
      <w:r>
        <w:rPr>
          <w:b/>
          <w:sz w:val="20"/>
        </w:rPr>
        <w:t>c.</w:t>
      </w:r>
      <w:r>
        <w:rPr>
          <w:b/>
          <w:spacing w:val="-11"/>
          <w:sz w:val="20"/>
        </w:rPr>
        <w:t> </w:t>
      </w:r>
      <w:r>
        <w:rPr>
          <w:sz w:val="20"/>
        </w:rPr>
        <w:t>is</w:t>
      </w:r>
      <w:r>
        <w:rPr>
          <w:spacing w:val="-10"/>
          <w:sz w:val="20"/>
        </w:rPr>
        <w:t> </w:t>
      </w:r>
      <w:r>
        <w:rPr>
          <w:sz w:val="20"/>
        </w:rPr>
        <w:t>deleted</w:t>
      </w:r>
      <w:r>
        <w:rPr>
          <w:spacing w:val="-11"/>
          <w:sz w:val="20"/>
        </w:rPr>
        <w:t> </w:t>
      </w:r>
      <w:r>
        <w:rPr>
          <w:sz w:val="20"/>
        </w:rPr>
        <w:t>and</w:t>
      </w:r>
      <w:r>
        <w:rPr>
          <w:spacing w:val="-11"/>
          <w:sz w:val="20"/>
        </w:rPr>
        <w:t> </w:t>
      </w:r>
      <w:r>
        <w:rPr>
          <w:sz w:val="20"/>
        </w:rPr>
        <w:t>replaced</w:t>
      </w:r>
      <w:r>
        <w:rPr>
          <w:spacing w:val="-12"/>
          <w:sz w:val="20"/>
        </w:rPr>
        <w:t> </w:t>
      </w:r>
      <w:r>
        <w:rPr>
          <w:sz w:val="20"/>
        </w:rPr>
        <w:t>with</w:t>
      </w:r>
      <w:r>
        <w:rPr>
          <w:spacing w:val="-11"/>
          <w:sz w:val="20"/>
        </w:rPr>
        <w:t> </w:t>
      </w:r>
      <w:r>
        <w:rPr>
          <w:sz w:val="20"/>
        </w:rPr>
        <w:t>the</w:t>
      </w:r>
      <w:r>
        <w:rPr>
          <w:spacing w:val="-11"/>
          <w:sz w:val="20"/>
        </w:rPr>
        <w:t> </w:t>
      </w:r>
      <w:r>
        <w:rPr>
          <w:spacing w:val="-2"/>
          <w:sz w:val="20"/>
        </w:rPr>
        <w:t>following:</w:t>
      </w:r>
    </w:p>
    <w:p>
      <w:pPr>
        <w:pStyle w:val="BodyText"/>
        <w:spacing w:before="80"/>
        <w:ind w:left="1080" w:right="357" w:hanging="360"/>
        <w:jc w:val="both"/>
      </w:pPr>
      <w:r>
        <w:rPr>
          <w:b/>
        </w:rPr>
        <w:t>c.</w:t>
      </w:r>
      <w:r>
        <w:rPr>
          <w:b/>
          <w:spacing w:val="80"/>
          <w:w w:val="150"/>
        </w:rPr>
        <w:t> </w:t>
      </w:r>
      <w:r>
        <w:rPr/>
        <w:t>Notwithstanding</w:t>
      </w:r>
      <w:r>
        <w:rPr>
          <w:spacing w:val="-14"/>
        </w:rPr>
        <w:t> </w:t>
      </w:r>
      <w:r>
        <w:rPr/>
        <w:t>the</w:t>
      </w:r>
      <w:r>
        <w:rPr>
          <w:spacing w:val="-13"/>
        </w:rPr>
        <w:t> </w:t>
      </w:r>
      <w:r>
        <w:rPr/>
        <w:t>foregoing,</w:t>
      </w:r>
      <w:r>
        <w:rPr>
          <w:spacing w:val="-14"/>
        </w:rPr>
        <w:t> </w:t>
      </w:r>
      <w:r>
        <w:rPr/>
        <w:t>in</w:t>
      </w:r>
      <w:r>
        <w:rPr>
          <w:spacing w:val="-13"/>
        </w:rPr>
        <w:t> </w:t>
      </w:r>
      <w:r>
        <w:rPr/>
        <w:t>the</w:t>
      </w:r>
      <w:r>
        <w:rPr>
          <w:spacing w:val="-14"/>
        </w:rPr>
        <w:t> </w:t>
      </w:r>
      <w:r>
        <w:rPr/>
        <w:t>event</w:t>
      </w:r>
      <w:r>
        <w:rPr>
          <w:spacing w:val="-14"/>
        </w:rPr>
        <w:t> </w:t>
      </w:r>
      <w:r>
        <w:rPr/>
        <w:t>that</w:t>
      </w:r>
      <w:r>
        <w:rPr>
          <w:spacing w:val="-12"/>
        </w:rPr>
        <w:t> </w:t>
      </w:r>
      <w:r>
        <w:rPr/>
        <w:t>you</w:t>
      </w:r>
      <w:r>
        <w:rPr>
          <w:spacing w:val="-14"/>
        </w:rPr>
        <w:t> </w:t>
      </w:r>
      <w:r>
        <w:rPr/>
        <w:t>purchase</w:t>
      </w:r>
      <w:r>
        <w:rPr>
          <w:spacing w:val="-14"/>
        </w:rPr>
        <w:t> </w:t>
      </w:r>
      <w:r>
        <w:rPr/>
        <w:t>the</w:t>
      </w:r>
      <w:r>
        <w:rPr>
          <w:spacing w:val="-13"/>
        </w:rPr>
        <w:t> </w:t>
      </w:r>
      <w:r>
        <w:rPr/>
        <w:t>Supplemental</w:t>
      </w:r>
      <w:r>
        <w:rPr>
          <w:spacing w:val="-14"/>
        </w:rPr>
        <w:t> </w:t>
      </w:r>
      <w:r>
        <w:rPr/>
        <w:t>Extended</w:t>
      </w:r>
      <w:r>
        <w:rPr>
          <w:spacing w:val="-13"/>
        </w:rPr>
        <w:t> </w:t>
      </w:r>
      <w:r>
        <w:rPr/>
        <w:t>Reporting</w:t>
      </w:r>
      <w:r>
        <w:rPr>
          <w:spacing w:val="-14"/>
        </w:rPr>
        <w:t> </w:t>
      </w:r>
      <w:r>
        <w:rPr/>
        <w:t>Period pursuant to the terms of </w:t>
      </w:r>
      <w:r>
        <w:rPr>
          <w:b/>
        </w:rPr>
        <w:t>E. ADDITIONAL CONDITIONS</w:t>
      </w:r>
      <w:r>
        <w:rPr/>
        <w:t>, </w:t>
      </w:r>
      <w:r>
        <w:rPr>
          <w:b/>
        </w:rPr>
        <w:t>6. Extended Reporting Periods</w:t>
      </w:r>
      <w:r>
        <w:rPr/>
        <w:t>, paragraph </w:t>
      </w:r>
      <w:r>
        <w:rPr>
          <w:b/>
        </w:rPr>
        <w:t>b. (2)</w:t>
      </w:r>
      <w:r>
        <w:rPr/>
        <w:t>,</w:t>
      </w:r>
      <w:r>
        <w:rPr>
          <w:spacing w:val="-4"/>
        </w:rPr>
        <w:t> </w:t>
      </w:r>
      <w:r>
        <w:rPr/>
        <w:t>the</w:t>
      </w:r>
      <w:r>
        <w:rPr>
          <w:spacing w:val="-4"/>
        </w:rPr>
        <w:t> </w:t>
      </w:r>
      <w:r>
        <w:rPr/>
        <w:t>limit</w:t>
      </w:r>
      <w:r>
        <w:rPr>
          <w:spacing w:val="-4"/>
        </w:rPr>
        <w:t> </w:t>
      </w:r>
      <w:r>
        <w:rPr/>
        <w:t>of</w:t>
      </w:r>
      <w:r>
        <w:rPr>
          <w:spacing w:val="-4"/>
        </w:rPr>
        <w:t> </w:t>
      </w:r>
      <w:r>
        <w:rPr/>
        <w:t>liability</w:t>
      </w:r>
      <w:r>
        <w:rPr>
          <w:spacing w:val="-3"/>
        </w:rPr>
        <w:t> </w:t>
      </w:r>
      <w:r>
        <w:rPr/>
        <w:t>for</w:t>
      </w:r>
      <w:r>
        <w:rPr>
          <w:spacing w:val="-3"/>
        </w:rPr>
        <w:t> </w:t>
      </w:r>
      <w:r>
        <w:rPr/>
        <w:t>the</w:t>
      </w:r>
      <w:r>
        <w:rPr>
          <w:spacing w:val="-4"/>
        </w:rPr>
        <w:t> </w:t>
      </w:r>
      <w:r>
        <w:rPr/>
        <w:t>Supplemental</w:t>
      </w:r>
      <w:r>
        <w:rPr>
          <w:spacing w:val="-5"/>
        </w:rPr>
        <w:t> </w:t>
      </w:r>
      <w:r>
        <w:rPr/>
        <w:t>Extended</w:t>
      </w:r>
      <w:r>
        <w:rPr>
          <w:spacing w:val="-2"/>
        </w:rPr>
        <w:t> </w:t>
      </w:r>
      <w:r>
        <w:rPr/>
        <w:t>Reporting</w:t>
      </w:r>
      <w:r>
        <w:rPr>
          <w:spacing w:val="-2"/>
        </w:rPr>
        <w:t> </w:t>
      </w:r>
      <w:r>
        <w:rPr/>
        <w:t>Period</w:t>
      </w:r>
      <w:r>
        <w:rPr>
          <w:spacing w:val="-4"/>
        </w:rPr>
        <w:t> </w:t>
      </w:r>
      <w:r>
        <w:rPr/>
        <w:t>(if</w:t>
      </w:r>
      <w:r>
        <w:rPr>
          <w:spacing w:val="-2"/>
        </w:rPr>
        <w:t> </w:t>
      </w:r>
      <w:r>
        <w:rPr/>
        <w:t>applicable)</w:t>
      </w:r>
      <w:r>
        <w:rPr>
          <w:spacing w:val="-3"/>
        </w:rPr>
        <w:t> </w:t>
      </w:r>
      <w:r>
        <w:rPr/>
        <w:t>shall</w:t>
      </w:r>
      <w:r>
        <w:rPr>
          <w:spacing w:val="-5"/>
        </w:rPr>
        <w:t> </w:t>
      </w:r>
      <w:r>
        <w:rPr/>
        <w:t>be</w:t>
      </w:r>
      <w:r>
        <w:rPr>
          <w:spacing w:val="-4"/>
        </w:rPr>
        <w:t> </w:t>
      </w:r>
      <w:r>
        <w:rPr/>
        <w:t>equal</w:t>
      </w:r>
      <w:r>
        <w:rPr>
          <w:spacing w:val="-5"/>
        </w:rPr>
        <w:t> </w:t>
      </w:r>
      <w:r>
        <w:rPr/>
        <w:t>to</w:t>
      </w:r>
      <w:r>
        <w:rPr>
          <w:spacing w:val="-4"/>
        </w:rPr>
        <w:t> </w:t>
      </w:r>
      <w:r>
        <w:rPr/>
        <w:t>the applicable liability</w:t>
      </w:r>
      <w:r>
        <w:rPr>
          <w:spacing w:val="-1"/>
        </w:rPr>
        <w:t> </w:t>
      </w:r>
      <w:r>
        <w:rPr/>
        <w:t>limit.</w:t>
      </w:r>
      <w:r>
        <w:rPr>
          <w:spacing w:val="-2"/>
        </w:rPr>
        <w:t> </w:t>
      </w:r>
      <w:r>
        <w:rPr/>
        <w:t>The limit of liability</w:t>
      </w:r>
      <w:r>
        <w:rPr>
          <w:spacing w:val="-1"/>
        </w:rPr>
        <w:t> </w:t>
      </w:r>
      <w:r>
        <w:rPr/>
        <w:t>for</w:t>
      </w:r>
      <w:r>
        <w:rPr>
          <w:spacing w:val="-2"/>
        </w:rPr>
        <w:t> </w:t>
      </w:r>
      <w:r>
        <w:rPr/>
        <w:t>the</w:t>
      </w:r>
      <w:r>
        <w:rPr>
          <w:spacing w:val="-2"/>
        </w:rPr>
        <w:t> </w:t>
      </w:r>
      <w:r>
        <w:rPr/>
        <w:t>Supplemental</w:t>
      </w:r>
      <w:r>
        <w:rPr>
          <w:spacing w:val="-1"/>
        </w:rPr>
        <w:t> </w:t>
      </w:r>
      <w:r>
        <w:rPr/>
        <w:t>Extended Reporting</w:t>
      </w:r>
      <w:r>
        <w:rPr>
          <w:spacing w:val="-2"/>
        </w:rPr>
        <w:t> </w:t>
      </w:r>
      <w:r>
        <w:rPr/>
        <w:t>Period, if</w:t>
      </w:r>
      <w:r>
        <w:rPr>
          <w:spacing w:val="-2"/>
        </w:rPr>
        <w:t> </w:t>
      </w:r>
      <w:r>
        <w:rPr/>
        <w:t>purchased, shall be solely for “claims” of which you first receive notice during said Supplemental Extended Reporting Period</w:t>
      </w:r>
      <w:r>
        <w:rPr>
          <w:spacing w:val="-2"/>
        </w:rPr>
        <w:t> </w:t>
      </w:r>
      <w:r>
        <w:rPr/>
        <w:t>for</w:t>
      </w:r>
      <w:r>
        <w:rPr>
          <w:spacing w:val="-1"/>
        </w:rPr>
        <w:t> </w:t>
      </w:r>
      <w:r>
        <w:rPr/>
        <w:t>any “wrongful</w:t>
      </w:r>
      <w:r>
        <w:rPr>
          <w:spacing w:val="-3"/>
        </w:rPr>
        <w:t> </w:t>
      </w:r>
      <w:r>
        <w:rPr/>
        <w:t>act”</w:t>
      </w:r>
      <w:r>
        <w:rPr>
          <w:spacing w:val="-1"/>
        </w:rPr>
        <w:t> </w:t>
      </w:r>
      <w:r>
        <w:rPr/>
        <w:t>occurring</w:t>
      </w:r>
      <w:r>
        <w:rPr>
          <w:spacing w:val="-2"/>
        </w:rPr>
        <w:t> </w:t>
      </w:r>
      <w:r>
        <w:rPr/>
        <w:t>before</w:t>
      </w:r>
      <w:r>
        <w:rPr>
          <w:spacing w:val="-2"/>
        </w:rPr>
        <w:t> </w:t>
      </w:r>
      <w:r>
        <w:rPr/>
        <w:t>the</w:t>
      </w:r>
      <w:r>
        <w:rPr>
          <w:spacing w:val="-2"/>
        </w:rPr>
        <w:t> </w:t>
      </w:r>
      <w:r>
        <w:rPr/>
        <w:t>end of</w:t>
      </w:r>
      <w:r>
        <w:rPr>
          <w:spacing w:val="-2"/>
        </w:rPr>
        <w:t> </w:t>
      </w:r>
      <w:r>
        <w:rPr/>
        <w:t>the</w:t>
      </w:r>
      <w:r>
        <w:rPr>
          <w:spacing w:val="-2"/>
        </w:rPr>
        <w:t> </w:t>
      </w:r>
      <w:r>
        <w:rPr/>
        <w:t>coverage</w:t>
      </w:r>
      <w:r>
        <w:rPr>
          <w:spacing w:val="-2"/>
        </w:rPr>
        <w:t> </w:t>
      </w:r>
      <w:r>
        <w:rPr/>
        <w:t>period</w:t>
      </w:r>
      <w:r>
        <w:rPr>
          <w:spacing w:val="-2"/>
        </w:rPr>
        <w:t> </w:t>
      </w:r>
      <w:r>
        <w:rPr/>
        <w:t>for</w:t>
      </w:r>
      <w:r>
        <w:rPr>
          <w:spacing w:val="-1"/>
        </w:rPr>
        <w:t> </w:t>
      </w:r>
      <w:r>
        <w:rPr/>
        <w:t>this Cyber Coverage</w:t>
      </w:r>
      <w:r>
        <w:rPr>
          <w:spacing w:val="-2"/>
        </w:rPr>
        <w:t> </w:t>
      </w:r>
      <w:r>
        <w:rPr/>
        <w:t>and which</w:t>
      </w:r>
      <w:r>
        <w:rPr>
          <w:spacing w:val="-14"/>
        </w:rPr>
        <w:t> </w:t>
      </w:r>
      <w:r>
        <w:rPr/>
        <w:t>is</w:t>
      </w:r>
      <w:r>
        <w:rPr>
          <w:spacing w:val="-14"/>
        </w:rPr>
        <w:t> </w:t>
      </w:r>
      <w:r>
        <w:rPr/>
        <w:t>otherwise</w:t>
      </w:r>
      <w:r>
        <w:rPr>
          <w:spacing w:val="-14"/>
        </w:rPr>
        <w:t> </w:t>
      </w:r>
      <w:r>
        <w:rPr/>
        <w:t>covered</w:t>
      </w:r>
      <w:r>
        <w:rPr>
          <w:spacing w:val="-14"/>
        </w:rPr>
        <w:t> </w:t>
      </w:r>
      <w:r>
        <w:rPr/>
        <w:t>by</w:t>
      </w:r>
      <w:r>
        <w:rPr>
          <w:spacing w:val="-14"/>
        </w:rPr>
        <w:t> </w:t>
      </w:r>
      <w:r>
        <w:rPr/>
        <w:t>this</w:t>
      </w:r>
      <w:r>
        <w:rPr>
          <w:spacing w:val="-14"/>
        </w:rPr>
        <w:t> </w:t>
      </w:r>
      <w:r>
        <w:rPr/>
        <w:t>Cyber</w:t>
      </w:r>
      <w:r>
        <w:rPr>
          <w:spacing w:val="-14"/>
        </w:rPr>
        <w:t> </w:t>
      </w:r>
      <w:r>
        <w:rPr/>
        <w:t>Coverage</w:t>
      </w:r>
      <w:r>
        <w:rPr>
          <w:spacing w:val="-14"/>
        </w:rPr>
        <w:t> </w:t>
      </w:r>
      <w:r>
        <w:rPr/>
        <w:t>and</w:t>
      </w:r>
      <w:r>
        <w:rPr>
          <w:spacing w:val="-14"/>
        </w:rPr>
        <w:t> </w:t>
      </w:r>
      <w:r>
        <w:rPr/>
        <w:t>shall</w:t>
      </w:r>
      <w:r>
        <w:rPr>
          <w:spacing w:val="-13"/>
        </w:rPr>
        <w:t> </w:t>
      </w:r>
      <w:r>
        <w:rPr/>
        <w:t>be</w:t>
      </w:r>
      <w:r>
        <w:rPr>
          <w:spacing w:val="-14"/>
        </w:rPr>
        <w:t> </w:t>
      </w:r>
      <w:r>
        <w:rPr/>
        <w:t>in</w:t>
      </w:r>
      <w:r>
        <w:rPr>
          <w:spacing w:val="-14"/>
        </w:rPr>
        <w:t> </w:t>
      </w:r>
      <w:r>
        <w:rPr/>
        <w:t>addition</w:t>
      </w:r>
      <w:r>
        <w:rPr>
          <w:spacing w:val="-14"/>
        </w:rPr>
        <w:t> </w:t>
      </w:r>
      <w:r>
        <w:rPr/>
        <w:t>to,</w:t>
      </w:r>
      <w:r>
        <w:rPr>
          <w:spacing w:val="-14"/>
        </w:rPr>
        <w:t> </w:t>
      </w:r>
      <w:r>
        <w:rPr/>
        <w:t>and</w:t>
      </w:r>
      <w:r>
        <w:rPr>
          <w:spacing w:val="-14"/>
        </w:rPr>
        <w:t> </w:t>
      </w:r>
      <w:r>
        <w:rPr/>
        <w:t>not</w:t>
      </w:r>
      <w:r>
        <w:rPr>
          <w:spacing w:val="-14"/>
        </w:rPr>
        <w:t> </w:t>
      </w:r>
      <w:r>
        <w:rPr/>
        <w:t>part</w:t>
      </w:r>
      <w:r>
        <w:rPr>
          <w:spacing w:val="-14"/>
        </w:rPr>
        <w:t> </w:t>
      </w:r>
      <w:r>
        <w:rPr/>
        <w:t>of,</w:t>
      </w:r>
      <w:r>
        <w:rPr>
          <w:spacing w:val="-14"/>
        </w:rPr>
        <w:t> </w:t>
      </w:r>
      <w:r>
        <w:rPr/>
        <w:t>the</w:t>
      </w:r>
      <w:r>
        <w:rPr>
          <w:spacing w:val="-13"/>
        </w:rPr>
        <w:t> </w:t>
      </w:r>
      <w:r>
        <w:rPr/>
        <w:t>applicable liability limit for the preceding coverage period.</w:t>
      </w:r>
    </w:p>
    <w:p>
      <w:pPr>
        <w:pStyle w:val="ListParagraph"/>
        <w:numPr>
          <w:ilvl w:val="0"/>
          <w:numId w:val="1"/>
        </w:numPr>
        <w:tabs>
          <w:tab w:pos="717" w:val="left" w:leader="none"/>
          <w:tab w:pos="719" w:val="left" w:leader="none"/>
        </w:tabs>
        <w:spacing w:line="240" w:lineRule="auto" w:before="80" w:after="0"/>
        <w:ind w:left="719" w:right="360" w:hanging="360"/>
        <w:jc w:val="both"/>
        <w:rPr>
          <w:sz w:val="20"/>
        </w:rPr>
      </w:pPr>
      <w:r>
        <w:rPr>
          <w:b/>
          <w:sz w:val="20"/>
        </w:rPr>
        <w:t>E. ADDITIONAL CONDITIONS</w:t>
      </w:r>
      <w:r>
        <w:rPr>
          <w:sz w:val="20"/>
        </w:rPr>
        <w:t>, </w:t>
      </w:r>
      <w:r>
        <w:rPr>
          <w:b/>
          <w:sz w:val="20"/>
        </w:rPr>
        <w:t>6. Extended Reporting Periods</w:t>
      </w:r>
      <w:r>
        <w:rPr>
          <w:sz w:val="20"/>
        </w:rPr>
        <w:t>, paragraph </w:t>
      </w:r>
      <w:r>
        <w:rPr>
          <w:b/>
          <w:sz w:val="20"/>
        </w:rPr>
        <w:t>b. (2) </w:t>
      </w:r>
      <w:r>
        <w:rPr>
          <w:sz w:val="20"/>
        </w:rPr>
        <w:t>is deleted and replaced with the following:</w:t>
      </w:r>
    </w:p>
    <w:p>
      <w:pPr>
        <w:pStyle w:val="BodyText"/>
        <w:spacing w:before="81"/>
        <w:ind w:left="1440" w:right="359" w:hanging="721"/>
        <w:jc w:val="both"/>
      </w:pPr>
      <w:r>
        <w:rPr>
          <w:b/>
        </w:rPr>
        <w:t>b.(2)</w:t>
      </w:r>
      <w:r>
        <w:rPr>
          <w:b/>
          <w:spacing w:val="40"/>
        </w:rPr>
        <w:t>  </w:t>
      </w:r>
      <w:r>
        <w:rPr/>
        <w:t>Upon payment of</w:t>
      </w:r>
      <w:r>
        <w:rPr>
          <w:spacing w:val="-1"/>
        </w:rPr>
        <w:t> </w:t>
      </w:r>
      <w:r>
        <w:rPr/>
        <w:t>the</w:t>
      </w:r>
      <w:r>
        <w:rPr>
          <w:spacing w:val="-1"/>
        </w:rPr>
        <w:t> </w:t>
      </w:r>
      <w:r>
        <w:rPr/>
        <w:t>additional</w:t>
      </w:r>
      <w:r>
        <w:rPr>
          <w:spacing w:val="-2"/>
        </w:rPr>
        <w:t> </w:t>
      </w:r>
      <w:r>
        <w:rPr/>
        <w:t>premium</w:t>
      </w:r>
      <w:r>
        <w:rPr>
          <w:spacing w:val="-1"/>
        </w:rPr>
        <w:t> </w:t>
      </w:r>
      <w:r>
        <w:rPr/>
        <w:t>of</w:t>
      </w:r>
      <w:r>
        <w:rPr>
          <w:spacing w:val="-1"/>
        </w:rPr>
        <w:t> </w:t>
      </w:r>
      <w:r>
        <w:rPr/>
        <w:t>100% of</w:t>
      </w:r>
      <w:r>
        <w:rPr>
          <w:spacing w:val="-1"/>
        </w:rPr>
        <w:t> </w:t>
      </w:r>
      <w:r>
        <w:rPr/>
        <w:t>the</w:t>
      </w:r>
      <w:r>
        <w:rPr>
          <w:spacing w:val="-1"/>
        </w:rPr>
        <w:t> </w:t>
      </w:r>
      <w:r>
        <w:rPr/>
        <w:t>full annual</w:t>
      </w:r>
      <w:r>
        <w:rPr>
          <w:spacing w:val="-2"/>
        </w:rPr>
        <w:t> </w:t>
      </w:r>
      <w:r>
        <w:rPr/>
        <w:t>premium associated</w:t>
      </w:r>
      <w:r>
        <w:rPr>
          <w:spacing w:val="-1"/>
        </w:rPr>
        <w:t> </w:t>
      </w:r>
      <w:r>
        <w:rPr/>
        <w:t>with</w:t>
      </w:r>
      <w:r>
        <w:rPr>
          <w:spacing w:val="-1"/>
        </w:rPr>
        <w:t> </w:t>
      </w:r>
      <w:r>
        <w:rPr/>
        <w:t>the</w:t>
      </w:r>
      <w:r>
        <w:rPr>
          <w:spacing w:val="-1"/>
        </w:rPr>
        <w:t> </w:t>
      </w:r>
      <w:r>
        <w:rPr/>
        <w:t>rele- vant coverage, a Supplemental Extended Reporting Period of one year immediately following the ef- fective</w:t>
      </w:r>
      <w:r>
        <w:rPr>
          <w:spacing w:val="-14"/>
        </w:rPr>
        <w:t> </w:t>
      </w:r>
      <w:r>
        <w:rPr/>
        <w:t>date</w:t>
      </w:r>
      <w:r>
        <w:rPr>
          <w:spacing w:val="-14"/>
        </w:rPr>
        <w:t> </w:t>
      </w:r>
      <w:r>
        <w:rPr/>
        <w:t>of</w:t>
      </w:r>
      <w:r>
        <w:rPr>
          <w:spacing w:val="-14"/>
        </w:rPr>
        <w:t> </w:t>
      </w:r>
      <w:r>
        <w:rPr/>
        <w:t>the</w:t>
      </w:r>
      <w:r>
        <w:rPr>
          <w:spacing w:val="-14"/>
        </w:rPr>
        <w:t> </w:t>
      </w:r>
      <w:r>
        <w:rPr/>
        <w:t>“termination</w:t>
      </w:r>
      <w:r>
        <w:rPr>
          <w:spacing w:val="-14"/>
        </w:rPr>
        <w:t> </w:t>
      </w:r>
      <w:r>
        <w:rPr/>
        <w:t>of</w:t>
      </w:r>
      <w:r>
        <w:rPr>
          <w:spacing w:val="-14"/>
        </w:rPr>
        <w:t> </w:t>
      </w:r>
      <w:r>
        <w:rPr/>
        <w:t>coverage”</w:t>
      </w:r>
      <w:r>
        <w:rPr>
          <w:spacing w:val="-14"/>
        </w:rPr>
        <w:t> </w:t>
      </w:r>
      <w:r>
        <w:rPr/>
        <w:t>during</w:t>
      </w:r>
      <w:r>
        <w:rPr>
          <w:spacing w:val="-14"/>
        </w:rPr>
        <w:t> </w:t>
      </w:r>
      <w:r>
        <w:rPr/>
        <w:t>which</w:t>
      </w:r>
      <w:r>
        <w:rPr>
          <w:spacing w:val="-14"/>
        </w:rPr>
        <w:t> </w:t>
      </w:r>
      <w:r>
        <w:rPr/>
        <w:t>you</w:t>
      </w:r>
      <w:r>
        <w:rPr>
          <w:spacing w:val="-13"/>
        </w:rPr>
        <w:t> </w:t>
      </w:r>
      <w:r>
        <w:rPr/>
        <w:t>may</w:t>
      </w:r>
      <w:r>
        <w:rPr>
          <w:spacing w:val="-14"/>
        </w:rPr>
        <w:t> </w:t>
      </w:r>
      <w:r>
        <w:rPr/>
        <w:t>first</w:t>
      </w:r>
      <w:r>
        <w:rPr>
          <w:spacing w:val="-14"/>
        </w:rPr>
        <w:t> </w:t>
      </w:r>
      <w:r>
        <w:rPr/>
        <w:t>receive</w:t>
      </w:r>
      <w:r>
        <w:rPr>
          <w:spacing w:val="-14"/>
        </w:rPr>
        <w:t> </w:t>
      </w:r>
      <w:r>
        <w:rPr/>
        <w:t>written</w:t>
      </w:r>
      <w:r>
        <w:rPr>
          <w:spacing w:val="-14"/>
        </w:rPr>
        <w:t> </w:t>
      </w:r>
      <w:r>
        <w:rPr/>
        <w:t>notice</w:t>
      </w:r>
      <w:r>
        <w:rPr>
          <w:spacing w:val="-14"/>
        </w:rPr>
        <w:t> </w:t>
      </w:r>
      <w:r>
        <w:rPr/>
        <w:t>of</w:t>
      </w:r>
      <w:r>
        <w:rPr>
          <w:spacing w:val="-14"/>
        </w:rPr>
        <w:t> </w:t>
      </w:r>
      <w:r>
        <w:rPr/>
        <w:t>a</w:t>
      </w:r>
      <w:r>
        <w:rPr>
          <w:spacing w:val="-14"/>
        </w:rPr>
        <w:t> </w:t>
      </w:r>
      <w:r>
        <w:rPr/>
        <w:t>“claim” or “regulatory proceeding” arising directly from a “wrongful act” occurring before the end of the “policy period” and which is otherwise insured by this Cyber Coverage.</w:t>
      </w:r>
    </w:p>
    <w:p>
      <w:pPr>
        <w:spacing w:before="81"/>
        <w:ind w:left="1440" w:right="358" w:firstLine="0"/>
        <w:jc w:val="both"/>
        <w:rPr>
          <w:sz w:val="20"/>
        </w:rPr>
      </w:pPr>
      <w:r>
        <w:rPr>
          <w:sz w:val="20"/>
        </w:rPr>
        <w:t>The</w:t>
      </w:r>
      <w:r>
        <w:rPr>
          <w:spacing w:val="-2"/>
          <w:sz w:val="20"/>
        </w:rPr>
        <w:t> </w:t>
      </w:r>
      <w:r>
        <w:rPr>
          <w:sz w:val="20"/>
        </w:rPr>
        <w:t>limit</w:t>
      </w:r>
      <w:r>
        <w:rPr>
          <w:spacing w:val="-2"/>
          <w:sz w:val="20"/>
        </w:rPr>
        <w:t> </w:t>
      </w:r>
      <w:r>
        <w:rPr>
          <w:sz w:val="20"/>
        </w:rPr>
        <w:t>of</w:t>
      </w:r>
      <w:r>
        <w:rPr>
          <w:spacing w:val="-2"/>
          <w:sz w:val="20"/>
        </w:rPr>
        <w:t> </w:t>
      </w:r>
      <w:r>
        <w:rPr>
          <w:sz w:val="20"/>
        </w:rPr>
        <w:t>liability for</w:t>
      </w:r>
      <w:r>
        <w:rPr>
          <w:spacing w:val="-1"/>
          <w:sz w:val="20"/>
        </w:rPr>
        <w:t> </w:t>
      </w:r>
      <w:r>
        <w:rPr>
          <w:sz w:val="20"/>
        </w:rPr>
        <w:t>the Supplemental</w:t>
      </w:r>
      <w:r>
        <w:rPr>
          <w:spacing w:val="-3"/>
          <w:sz w:val="20"/>
        </w:rPr>
        <w:t> </w:t>
      </w:r>
      <w:r>
        <w:rPr>
          <w:sz w:val="20"/>
        </w:rPr>
        <w:t>Extended</w:t>
      </w:r>
      <w:r>
        <w:rPr>
          <w:spacing w:val="-2"/>
          <w:sz w:val="20"/>
        </w:rPr>
        <w:t> </w:t>
      </w:r>
      <w:r>
        <w:rPr>
          <w:sz w:val="20"/>
        </w:rPr>
        <w:t>Reporting Period</w:t>
      </w:r>
      <w:r>
        <w:rPr>
          <w:spacing w:val="-2"/>
          <w:sz w:val="20"/>
        </w:rPr>
        <w:t> </w:t>
      </w:r>
      <w:r>
        <w:rPr>
          <w:sz w:val="20"/>
        </w:rPr>
        <w:t>shall be as set</w:t>
      </w:r>
      <w:r>
        <w:rPr>
          <w:spacing w:val="-2"/>
          <w:sz w:val="20"/>
        </w:rPr>
        <w:t> </w:t>
      </w:r>
      <w:r>
        <w:rPr>
          <w:sz w:val="20"/>
        </w:rPr>
        <w:t>forth in </w:t>
      </w:r>
      <w:r>
        <w:rPr>
          <w:b/>
          <w:sz w:val="20"/>
        </w:rPr>
        <w:t>C.</w:t>
      </w:r>
      <w:r>
        <w:rPr>
          <w:b/>
          <w:spacing w:val="-2"/>
          <w:sz w:val="20"/>
        </w:rPr>
        <w:t> </w:t>
      </w:r>
      <w:r>
        <w:rPr>
          <w:b/>
          <w:sz w:val="20"/>
        </w:rPr>
        <w:t>LIMITS OF</w:t>
      </w:r>
      <w:r>
        <w:rPr>
          <w:b/>
          <w:spacing w:val="-1"/>
          <w:sz w:val="20"/>
        </w:rPr>
        <w:t> </w:t>
      </w:r>
      <w:r>
        <w:rPr>
          <w:b/>
          <w:sz w:val="20"/>
        </w:rPr>
        <w:t>INSURANCE</w:t>
      </w:r>
      <w:r>
        <w:rPr>
          <w:sz w:val="20"/>
        </w:rPr>
        <w:t>, </w:t>
      </w:r>
      <w:r>
        <w:rPr>
          <w:b/>
          <w:sz w:val="20"/>
        </w:rPr>
        <w:t>3. Application</w:t>
      </w:r>
      <w:r>
        <w:rPr>
          <w:b/>
          <w:spacing w:val="-1"/>
          <w:sz w:val="20"/>
        </w:rPr>
        <w:t> </w:t>
      </w:r>
      <w:r>
        <w:rPr>
          <w:b/>
          <w:sz w:val="20"/>
        </w:rPr>
        <w:t>of</w:t>
      </w:r>
      <w:r>
        <w:rPr>
          <w:b/>
          <w:spacing w:val="-1"/>
          <w:sz w:val="20"/>
        </w:rPr>
        <w:t> </w:t>
      </w:r>
      <w:r>
        <w:rPr>
          <w:b/>
          <w:sz w:val="20"/>
        </w:rPr>
        <w:t>Limits</w:t>
      </w:r>
      <w:r>
        <w:rPr>
          <w:sz w:val="20"/>
        </w:rPr>
        <w:t>, paragraph</w:t>
      </w:r>
      <w:r>
        <w:rPr>
          <w:spacing w:val="-2"/>
          <w:sz w:val="20"/>
        </w:rPr>
        <w:t> </w:t>
      </w:r>
      <w:r>
        <w:rPr>
          <w:b/>
          <w:sz w:val="20"/>
        </w:rPr>
        <w:t>c. </w:t>
      </w:r>
      <w:r>
        <w:rPr>
          <w:sz w:val="20"/>
        </w:rPr>
        <w:t>of</w:t>
      </w:r>
      <w:r>
        <w:rPr>
          <w:spacing w:val="-2"/>
          <w:sz w:val="20"/>
        </w:rPr>
        <w:t> </w:t>
      </w:r>
      <w:r>
        <w:rPr>
          <w:sz w:val="20"/>
        </w:rPr>
        <w:t>this Cyber Coverage (as modified in</w:t>
      </w:r>
      <w:r>
        <w:rPr>
          <w:spacing w:val="-2"/>
          <w:sz w:val="20"/>
        </w:rPr>
        <w:t> </w:t>
      </w:r>
      <w:r>
        <w:rPr>
          <w:sz w:val="20"/>
        </w:rPr>
        <w:t>par- agraph </w:t>
      </w:r>
      <w:r>
        <w:rPr>
          <w:b/>
          <w:sz w:val="20"/>
        </w:rPr>
        <w:t>3. </w:t>
      </w:r>
      <w:r>
        <w:rPr>
          <w:sz w:val="20"/>
        </w:rPr>
        <w:t>above in this amendatory endorsement).</w:t>
      </w:r>
    </w:p>
    <w:p>
      <w:pPr>
        <w:pStyle w:val="BodyText"/>
        <w:spacing w:before="78"/>
        <w:ind w:left="1440" w:right="357"/>
        <w:jc w:val="both"/>
      </w:pPr>
      <w:r>
        <w:rPr/>
        <w:t>To obtain the Supplemental Extended Reporting Period, you must request it in writing and pay the additional</w:t>
      </w:r>
      <w:r>
        <w:rPr>
          <w:spacing w:val="-5"/>
        </w:rPr>
        <w:t> </w:t>
      </w:r>
      <w:r>
        <w:rPr/>
        <w:t>premium</w:t>
      </w:r>
      <w:r>
        <w:rPr>
          <w:spacing w:val="-4"/>
        </w:rPr>
        <w:t> </w:t>
      </w:r>
      <w:r>
        <w:rPr/>
        <w:t>due,</w:t>
      </w:r>
      <w:r>
        <w:rPr>
          <w:spacing w:val="-4"/>
        </w:rPr>
        <w:t> </w:t>
      </w:r>
      <w:r>
        <w:rPr/>
        <w:t>within</w:t>
      </w:r>
      <w:r>
        <w:rPr>
          <w:spacing w:val="-4"/>
        </w:rPr>
        <w:t> </w:t>
      </w:r>
      <w:r>
        <w:rPr/>
        <w:t>30</w:t>
      </w:r>
      <w:r>
        <w:rPr>
          <w:spacing w:val="-4"/>
        </w:rPr>
        <w:t> </w:t>
      </w:r>
      <w:r>
        <w:rPr/>
        <w:t>days</w:t>
      </w:r>
      <w:r>
        <w:rPr>
          <w:spacing w:val="-3"/>
        </w:rPr>
        <w:t> </w:t>
      </w:r>
      <w:r>
        <w:rPr/>
        <w:t>after</w:t>
      </w:r>
      <w:r>
        <w:rPr>
          <w:spacing w:val="-3"/>
        </w:rPr>
        <w:t> </w:t>
      </w:r>
      <w:r>
        <w:rPr/>
        <w:t>the</w:t>
      </w:r>
      <w:r>
        <w:rPr>
          <w:spacing w:val="-4"/>
        </w:rPr>
        <w:t> </w:t>
      </w:r>
      <w:r>
        <w:rPr/>
        <w:t>“termination</w:t>
      </w:r>
      <w:r>
        <w:rPr>
          <w:spacing w:val="-4"/>
        </w:rPr>
        <w:t> </w:t>
      </w:r>
      <w:r>
        <w:rPr/>
        <w:t>of</w:t>
      </w:r>
      <w:r>
        <w:rPr>
          <w:spacing w:val="-4"/>
        </w:rPr>
        <w:t> </w:t>
      </w:r>
      <w:r>
        <w:rPr/>
        <w:t>coverage”.</w:t>
      </w:r>
      <w:r>
        <w:rPr>
          <w:spacing w:val="-4"/>
        </w:rPr>
        <w:t> </w:t>
      </w:r>
      <w:r>
        <w:rPr/>
        <w:t>The</w:t>
      </w:r>
      <w:r>
        <w:rPr>
          <w:spacing w:val="-4"/>
        </w:rPr>
        <w:t> </w:t>
      </w:r>
      <w:r>
        <w:rPr/>
        <w:t>additional</w:t>
      </w:r>
      <w:r>
        <w:rPr>
          <w:spacing w:val="-5"/>
        </w:rPr>
        <w:t> </w:t>
      </w:r>
      <w:r>
        <w:rPr/>
        <w:t>premium</w:t>
      </w:r>
      <w:r>
        <w:rPr>
          <w:spacing w:val="-4"/>
        </w:rPr>
        <w:t> </w:t>
      </w:r>
      <w:r>
        <w:rPr/>
        <w:t>for the Supplemental</w:t>
      </w:r>
      <w:r>
        <w:rPr>
          <w:spacing w:val="-1"/>
        </w:rPr>
        <w:t> </w:t>
      </w:r>
      <w:r>
        <w:rPr/>
        <w:t>Extended</w:t>
      </w:r>
      <w:r>
        <w:rPr>
          <w:spacing w:val="-3"/>
        </w:rPr>
        <w:t> </w:t>
      </w:r>
      <w:r>
        <w:rPr/>
        <w:t>Reporting Period will</w:t>
      </w:r>
      <w:r>
        <w:rPr>
          <w:spacing w:val="-1"/>
        </w:rPr>
        <w:t> </w:t>
      </w:r>
      <w:r>
        <w:rPr/>
        <w:t>be fully earned at</w:t>
      </w:r>
      <w:r>
        <w:rPr>
          <w:spacing w:val="-3"/>
        </w:rPr>
        <w:t> </w:t>
      </w:r>
      <w:r>
        <w:rPr/>
        <w:t>the inception of</w:t>
      </w:r>
      <w:r>
        <w:rPr>
          <w:spacing w:val="-3"/>
        </w:rPr>
        <w:t> </w:t>
      </w:r>
      <w:r>
        <w:rPr/>
        <w:t>the Supplemental Extended</w:t>
      </w:r>
      <w:r>
        <w:rPr>
          <w:spacing w:val="-4"/>
        </w:rPr>
        <w:t> </w:t>
      </w:r>
      <w:r>
        <w:rPr/>
        <w:t>Reporting</w:t>
      </w:r>
      <w:r>
        <w:rPr>
          <w:spacing w:val="-4"/>
        </w:rPr>
        <w:t> </w:t>
      </w:r>
      <w:r>
        <w:rPr/>
        <w:t>Period.</w:t>
      </w:r>
      <w:r>
        <w:rPr>
          <w:spacing w:val="-4"/>
        </w:rPr>
        <w:t> </w:t>
      </w:r>
      <w:r>
        <w:rPr/>
        <w:t>If</w:t>
      </w:r>
      <w:r>
        <w:rPr>
          <w:spacing w:val="-4"/>
        </w:rPr>
        <w:t> </w:t>
      </w:r>
      <w:r>
        <w:rPr/>
        <w:t>we</w:t>
      </w:r>
      <w:r>
        <w:rPr>
          <w:spacing w:val="-4"/>
        </w:rPr>
        <w:t> </w:t>
      </w:r>
      <w:r>
        <w:rPr/>
        <w:t>do</w:t>
      </w:r>
      <w:r>
        <w:rPr>
          <w:spacing w:val="-4"/>
        </w:rPr>
        <w:t> </w:t>
      </w:r>
      <w:r>
        <w:rPr/>
        <w:t>not</w:t>
      </w:r>
      <w:r>
        <w:rPr>
          <w:spacing w:val="-4"/>
        </w:rPr>
        <w:t> </w:t>
      </w:r>
      <w:r>
        <w:rPr/>
        <w:t>receive</w:t>
      </w:r>
      <w:r>
        <w:rPr>
          <w:spacing w:val="-2"/>
        </w:rPr>
        <w:t> </w:t>
      </w:r>
      <w:r>
        <w:rPr/>
        <w:t>the</w:t>
      </w:r>
      <w:r>
        <w:rPr>
          <w:spacing w:val="-4"/>
        </w:rPr>
        <w:t> </w:t>
      </w:r>
      <w:r>
        <w:rPr/>
        <w:t>written</w:t>
      </w:r>
      <w:r>
        <w:rPr>
          <w:spacing w:val="-4"/>
        </w:rPr>
        <w:t> </w:t>
      </w:r>
      <w:r>
        <w:rPr/>
        <w:t>request</w:t>
      </w:r>
      <w:r>
        <w:rPr>
          <w:spacing w:val="-4"/>
        </w:rPr>
        <w:t> </w:t>
      </w:r>
      <w:r>
        <w:rPr/>
        <w:t>as</w:t>
      </w:r>
      <w:r>
        <w:rPr>
          <w:spacing w:val="-3"/>
        </w:rPr>
        <w:t> </w:t>
      </w:r>
      <w:r>
        <w:rPr/>
        <w:t>required,</w:t>
      </w:r>
      <w:r>
        <w:rPr>
          <w:spacing w:val="-4"/>
        </w:rPr>
        <w:t> </w:t>
      </w:r>
      <w:r>
        <w:rPr/>
        <w:t>you</w:t>
      </w:r>
      <w:r>
        <w:rPr>
          <w:spacing w:val="-4"/>
        </w:rPr>
        <w:t> </w:t>
      </w:r>
      <w:r>
        <w:rPr/>
        <w:t>may not</w:t>
      </w:r>
      <w:r>
        <w:rPr>
          <w:spacing w:val="-4"/>
        </w:rPr>
        <w:t> </w:t>
      </w:r>
      <w:r>
        <w:rPr/>
        <w:t>exercise this right at a later date.</w:t>
      </w:r>
    </w:p>
    <w:p>
      <w:pPr>
        <w:pStyle w:val="BodyText"/>
        <w:spacing w:before="82"/>
        <w:ind w:left="1440" w:right="359"/>
        <w:jc w:val="both"/>
      </w:pPr>
      <w:r>
        <w:rPr/>
        <w:t>This</w:t>
      </w:r>
      <w:r>
        <w:rPr>
          <w:spacing w:val="-14"/>
        </w:rPr>
        <w:t> </w:t>
      </w:r>
      <w:r>
        <w:rPr/>
        <w:t>insurance,</w:t>
      </w:r>
      <w:r>
        <w:rPr>
          <w:spacing w:val="-14"/>
        </w:rPr>
        <w:t> </w:t>
      </w:r>
      <w:r>
        <w:rPr/>
        <w:t>provided</w:t>
      </w:r>
      <w:r>
        <w:rPr>
          <w:spacing w:val="-14"/>
        </w:rPr>
        <w:t> </w:t>
      </w:r>
      <w:r>
        <w:rPr/>
        <w:t>during</w:t>
      </w:r>
      <w:r>
        <w:rPr>
          <w:spacing w:val="-14"/>
        </w:rPr>
        <w:t> </w:t>
      </w:r>
      <w:r>
        <w:rPr/>
        <w:t>the</w:t>
      </w:r>
      <w:r>
        <w:rPr>
          <w:spacing w:val="-11"/>
        </w:rPr>
        <w:t> </w:t>
      </w:r>
      <w:r>
        <w:rPr/>
        <w:t>Supplemental</w:t>
      </w:r>
      <w:r>
        <w:rPr>
          <w:spacing w:val="-14"/>
        </w:rPr>
        <w:t> </w:t>
      </w:r>
      <w:r>
        <w:rPr/>
        <w:t>Extended</w:t>
      </w:r>
      <w:r>
        <w:rPr>
          <w:spacing w:val="-12"/>
        </w:rPr>
        <w:t> </w:t>
      </w:r>
      <w:r>
        <w:rPr/>
        <w:t>Reporting</w:t>
      </w:r>
      <w:r>
        <w:rPr>
          <w:spacing w:val="-14"/>
        </w:rPr>
        <w:t> </w:t>
      </w:r>
      <w:r>
        <w:rPr/>
        <w:t>Period,</w:t>
      </w:r>
      <w:r>
        <w:rPr>
          <w:spacing w:val="-12"/>
        </w:rPr>
        <w:t> </w:t>
      </w:r>
      <w:r>
        <w:rPr/>
        <w:t>is</w:t>
      </w:r>
      <w:r>
        <w:rPr>
          <w:spacing w:val="-13"/>
        </w:rPr>
        <w:t> </w:t>
      </w:r>
      <w:r>
        <w:rPr/>
        <w:t>excess</w:t>
      </w:r>
      <w:r>
        <w:rPr>
          <w:spacing w:val="-13"/>
        </w:rPr>
        <w:t> </w:t>
      </w:r>
      <w:r>
        <w:rPr/>
        <w:t>over</w:t>
      </w:r>
      <w:r>
        <w:rPr>
          <w:spacing w:val="-14"/>
        </w:rPr>
        <w:t> </w:t>
      </w:r>
      <w:r>
        <w:rPr/>
        <w:t>any</w:t>
      </w:r>
      <w:r>
        <w:rPr>
          <w:spacing w:val="-13"/>
        </w:rPr>
        <w:t> </w:t>
      </w:r>
      <w:r>
        <w:rPr/>
        <w:t>other valid</w:t>
      </w:r>
      <w:r>
        <w:rPr>
          <w:spacing w:val="31"/>
        </w:rPr>
        <w:t> </w:t>
      </w:r>
      <w:r>
        <w:rPr/>
        <w:t>and</w:t>
      </w:r>
      <w:r>
        <w:rPr>
          <w:spacing w:val="29"/>
        </w:rPr>
        <w:t> </w:t>
      </w:r>
      <w:r>
        <w:rPr/>
        <w:t>collectible</w:t>
      </w:r>
      <w:r>
        <w:rPr>
          <w:spacing w:val="31"/>
        </w:rPr>
        <w:t> </w:t>
      </w:r>
      <w:r>
        <w:rPr/>
        <w:t>insurance</w:t>
      </w:r>
      <w:r>
        <w:rPr>
          <w:spacing w:val="29"/>
        </w:rPr>
        <w:t> </w:t>
      </w:r>
      <w:r>
        <w:rPr/>
        <w:t>that</w:t>
      </w:r>
      <w:r>
        <w:rPr>
          <w:spacing w:val="29"/>
        </w:rPr>
        <w:t> </w:t>
      </w:r>
      <w:r>
        <w:rPr/>
        <w:t>begins</w:t>
      </w:r>
      <w:r>
        <w:rPr>
          <w:spacing w:val="30"/>
        </w:rPr>
        <w:t> </w:t>
      </w:r>
      <w:r>
        <w:rPr/>
        <w:t>or</w:t>
      </w:r>
      <w:r>
        <w:rPr>
          <w:spacing w:val="30"/>
        </w:rPr>
        <w:t> </w:t>
      </w:r>
      <w:r>
        <w:rPr/>
        <w:t>continues</w:t>
      </w:r>
      <w:r>
        <w:rPr>
          <w:spacing w:val="30"/>
        </w:rPr>
        <w:t> </w:t>
      </w:r>
      <w:r>
        <w:rPr/>
        <w:t>in</w:t>
      </w:r>
      <w:r>
        <w:rPr>
          <w:spacing w:val="31"/>
        </w:rPr>
        <w:t> </w:t>
      </w:r>
      <w:r>
        <w:rPr/>
        <w:t>effect</w:t>
      </w:r>
      <w:r>
        <w:rPr>
          <w:spacing w:val="31"/>
        </w:rPr>
        <w:t> </w:t>
      </w:r>
      <w:r>
        <w:rPr/>
        <w:t>after</w:t>
      </w:r>
      <w:r>
        <w:rPr>
          <w:spacing w:val="32"/>
        </w:rPr>
        <w:t> </w:t>
      </w:r>
      <w:r>
        <w:rPr/>
        <w:t>the</w:t>
      </w:r>
      <w:r>
        <w:rPr>
          <w:spacing w:val="31"/>
        </w:rPr>
        <w:t> </w:t>
      </w:r>
      <w:r>
        <w:rPr/>
        <w:t>Supplemental</w:t>
      </w:r>
      <w:r>
        <w:rPr>
          <w:spacing w:val="31"/>
        </w:rPr>
        <w:t> </w:t>
      </w:r>
      <w:r>
        <w:rPr/>
        <w:t>Extended</w:t>
      </w:r>
    </w:p>
    <w:p>
      <w:pPr>
        <w:pStyle w:val="BodyText"/>
        <w:spacing w:after="0"/>
        <w:jc w:val="both"/>
        <w:sectPr>
          <w:headerReference w:type="default" r:id="rId5"/>
          <w:footerReference w:type="default" r:id="rId6"/>
          <w:pgSz w:w="12240" w:h="15840"/>
          <w:pgMar w:header="731" w:footer="952" w:top="1080" w:bottom="1140" w:left="720" w:right="720"/>
          <w:pgNumType w:start="2"/>
        </w:sectPr>
      </w:pPr>
    </w:p>
    <w:p>
      <w:pPr>
        <w:pStyle w:val="BodyText"/>
        <w:spacing w:before="28"/>
      </w:pPr>
    </w:p>
    <w:p>
      <w:pPr>
        <w:pStyle w:val="BodyText"/>
        <w:ind w:left="1440"/>
      </w:pPr>
      <w:r>
        <w:rPr/>
        <w:t>Reporting</w:t>
      </w:r>
      <w:r>
        <w:rPr>
          <w:spacing w:val="40"/>
        </w:rPr>
        <w:t> </w:t>
      </w:r>
      <w:r>
        <w:rPr/>
        <w:t>Period</w:t>
      </w:r>
      <w:r>
        <w:rPr>
          <w:spacing w:val="40"/>
        </w:rPr>
        <w:t> </w:t>
      </w:r>
      <w:r>
        <w:rPr/>
        <w:t>becomes</w:t>
      </w:r>
      <w:r>
        <w:rPr>
          <w:spacing w:val="40"/>
        </w:rPr>
        <w:t> </w:t>
      </w:r>
      <w:r>
        <w:rPr/>
        <w:t>effective,</w:t>
      </w:r>
      <w:r>
        <w:rPr>
          <w:spacing w:val="40"/>
        </w:rPr>
        <w:t> </w:t>
      </w:r>
      <w:r>
        <w:rPr/>
        <w:t>whether</w:t>
      </w:r>
      <w:r>
        <w:rPr>
          <w:spacing w:val="40"/>
        </w:rPr>
        <w:t> </w:t>
      </w:r>
      <w:r>
        <w:rPr/>
        <w:t>the</w:t>
      </w:r>
      <w:r>
        <w:rPr>
          <w:spacing w:val="40"/>
        </w:rPr>
        <w:t> </w:t>
      </w:r>
      <w:r>
        <w:rPr/>
        <w:t>other</w:t>
      </w:r>
      <w:r>
        <w:rPr>
          <w:spacing w:val="40"/>
        </w:rPr>
        <w:t> </w:t>
      </w:r>
      <w:r>
        <w:rPr/>
        <w:t>insurance</w:t>
      </w:r>
      <w:r>
        <w:rPr>
          <w:spacing w:val="40"/>
        </w:rPr>
        <w:t> </w:t>
      </w:r>
      <w:r>
        <w:rPr/>
        <w:t>applies</w:t>
      </w:r>
      <w:r>
        <w:rPr>
          <w:spacing w:val="40"/>
        </w:rPr>
        <w:t> </w:t>
      </w:r>
      <w:r>
        <w:rPr/>
        <w:t>on</w:t>
      </w:r>
      <w:r>
        <w:rPr>
          <w:spacing w:val="40"/>
        </w:rPr>
        <w:t> </w:t>
      </w:r>
      <w:r>
        <w:rPr/>
        <w:t>a</w:t>
      </w:r>
      <w:r>
        <w:rPr>
          <w:spacing w:val="40"/>
        </w:rPr>
        <w:t> </w:t>
      </w:r>
      <w:r>
        <w:rPr/>
        <w:t>primary,</w:t>
      </w:r>
      <w:r>
        <w:rPr>
          <w:spacing w:val="40"/>
        </w:rPr>
        <w:t> </w:t>
      </w:r>
      <w:r>
        <w:rPr/>
        <w:t>excess, contingent, or any other basis.</w:t>
      </w:r>
    </w:p>
    <w:p>
      <w:pPr>
        <w:pStyle w:val="BodyText"/>
        <w:spacing w:before="160"/>
      </w:pPr>
    </w:p>
    <w:p>
      <w:pPr>
        <w:pStyle w:val="ListParagraph"/>
        <w:numPr>
          <w:ilvl w:val="0"/>
          <w:numId w:val="1"/>
        </w:numPr>
        <w:tabs>
          <w:tab w:pos="801" w:val="left" w:leader="none"/>
        </w:tabs>
        <w:spacing w:line="240" w:lineRule="auto" w:before="0" w:after="0"/>
        <w:ind w:left="801" w:right="0" w:hanging="442"/>
        <w:jc w:val="left"/>
        <w:rPr>
          <w:sz w:val="20"/>
        </w:rPr>
      </w:pPr>
      <w:r>
        <w:rPr>
          <w:b/>
          <w:sz w:val="20"/>
        </w:rPr>
        <w:t>F.</w:t>
      </w:r>
      <w:r>
        <w:rPr>
          <w:b/>
          <w:spacing w:val="-5"/>
          <w:sz w:val="20"/>
        </w:rPr>
        <w:t> </w:t>
      </w:r>
      <w:r>
        <w:rPr>
          <w:b/>
          <w:sz w:val="20"/>
        </w:rPr>
        <w:t>DEFINITIONS</w:t>
      </w:r>
      <w:r>
        <w:rPr>
          <w:sz w:val="20"/>
        </w:rPr>
        <w:t>,</w:t>
      </w:r>
      <w:r>
        <w:rPr>
          <w:spacing w:val="-4"/>
          <w:sz w:val="20"/>
        </w:rPr>
        <w:t> </w:t>
      </w:r>
      <w:r>
        <w:rPr>
          <w:b/>
          <w:sz w:val="20"/>
        </w:rPr>
        <w:t>40.</w:t>
      </w:r>
      <w:r>
        <w:rPr>
          <w:b/>
          <w:spacing w:val="-4"/>
          <w:sz w:val="20"/>
        </w:rPr>
        <w:t> </w:t>
      </w:r>
      <w:r>
        <w:rPr>
          <w:sz w:val="20"/>
        </w:rPr>
        <w:t>is</w:t>
      </w:r>
      <w:r>
        <w:rPr>
          <w:spacing w:val="-6"/>
          <w:sz w:val="20"/>
        </w:rPr>
        <w:t> </w:t>
      </w:r>
      <w:r>
        <w:rPr>
          <w:spacing w:val="-2"/>
          <w:sz w:val="20"/>
        </w:rPr>
        <w:t>deleted.</w:t>
      </w:r>
    </w:p>
    <w:p>
      <w:pPr>
        <w:pStyle w:val="BodyText"/>
      </w:pPr>
    </w:p>
    <w:p>
      <w:pPr>
        <w:pStyle w:val="BodyText"/>
      </w:pPr>
    </w:p>
    <w:p>
      <w:pPr>
        <w:pStyle w:val="BodyText"/>
      </w:pPr>
    </w:p>
    <w:p>
      <w:pPr>
        <w:pStyle w:val="BodyText"/>
      </w:pPr>
    </w:p>
    <w:p>
      <w:pPr>
        <w:pStyle w:val="BodyText"/>
        <w:spacing w:before="91"/>
      </w:pPr>
    </w:p>
    <w:p>
      <w:pPr>
        <w:pStyle w:val="BodyText"/>
        <w:tabs>
          <w:tab w:pos="6119" w:val="left" w:leader="none"/>
        </w:tabs>
        <w:ind w:left="359"/>
      </w:pPr>
      <w:r>
        <w:rPr/>
        <w:t>All</w:t>
      </w:r>
      <w:r>
        <w:rPr>
          <w:spacing w:val="-7"/>
        </w:rPr>
        <w:t> </w:t>
      </w:r>
      <w:r>
        <w:rPr/>
        <w:t>other</w:t>
      </w:r>
      <w:r>
        <w:rPr>
          <w:spacing w:val="-5"/>
        </w:rPr>
        <w:t> </w:t>
      </w:r>
      <w:r>
        <w:rPr/>
        <w:t>terms</w:t>
      </w:r>
      <w:r>
        <w:rPr>
          <w:spacing w:val="-5"/>
        </w:rPr>
        <w:t> </w:t>
      </w:r>
      <w:r>
        <w:rPr/>
        <w:t>and</w:t>
      </w:r>
      <w:r>
        <w:rPr>
          <w:spacing w:val="-4"/>
        </w:rPr>
        <w:t> </w:t>
      </w:r>
      <w:r>
        <w:rPr/>
        <w:t>conditions</w:t>
      </w:r>
      <w:r>
        <w:rPr>
          <w:spacing w:val="-5"/>
        </w:rPr>
        <w:t> </w:t>
      </w:r>
      <w:r>
        <w:rPr/>
        <w:t>of</w:t>
      </w:r>
      <w:r>
        <w:rPr>
          <w:spacing w:val="-6"/>
        </w:rPr>
        <w:t> </w:t>
      </w:r>
      <w:r>
        <w:rPr/>
        <w:t>the</w:t>
      </w:r>
      <w:r>
        <w:rPr>
          <w:spacing w:val="-6"/>
        </w:rPr>
        <w:t> </w:t>
      </w:r>
      <w:r>
        <w:rPr/>
        <w:t>policy</w:t>
      </w:r>
      <w:r>
        <w:rPr>
          <w:spacing w:val="-4"/>
        </w:rPr>
        <w:t> </w:t>
      </w:r>
      <w:r>
        <w:rPr/>
        <w:t>remain</w:t>
      </w:r>
      <w:r>
        <w:rPr>
          <w:spacing w:val="-6"/>
        </w:rPr>
        <w:t> </w:t>
      </w:r>
      <w:r>
        <w:rPr>
          <w:spacing w:val="-2"/>
        </w:rPr>
        <w:t>unchanged.</w:t>
      </w:r>
      <w:r>
        <w:rPr/>
        <w:tab/>
      </w:r>
      <w:r>
        <w:rPr>
          <w:spacing w:val="80"/>
          <w:u w:val="single"/>
        </w:rPr>
        <w:t> </w:t>
      </w:r>
    </w:p>
    <w:p>
      <w:pPr>
        <w:pStyle w:val="BodyText"/>
      </w:pPr>
    </w:p>
    <w:p>
      <w:pPr>
        <w:pStyle w:val="BodyText"/>
      </w:pPr>
    </w:p>
    <w:p>
      <w:pPr>
        <w:pStyle w:val="BodyText"/>
      </w:pPr>
    </w:p>
    <w:p>
      <w:pPr>
        <w:pStyle w:val="BodyText"/>
        <w:spacing w:before="197"/>
      </w:pPr>
      <w:r>
        <w:rPr/>
        <mc:AlternateContent>
          <mc:Choice Requires="wps">
            <w:drawing>
              <wp:anchor distT="0" distB="0" distL="0" distR="0" allowOverlap="1" layoutInCell="1" locked="0" behindDoc="1" simplePos="0" relativeHeight="487587840">
                <wp:simplePos x="0" y="0"/>
                <wp:positionH relativeFrom="page">
                  <wp:posOffset>3886047</wp:posOffset>
                </wp:positionH>
                <wp:positionV relativeFrom="paragraph">
                  <wp:posOffset>286542</wp:posOffset>
                </wp:positionV>
                <wp:extent cx="1694814"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1694814" cy="1270"/>
                        </a:xfrm>
                        <a:custGeom>
                          <a:avLst/>
                          <a:gdLst/>
                          <a:ahLst/>
                          <a:cxnLst/>
                          <a:rect l="l" t="t" r="r" b="b"/>
                          <a:pathLst>
                            <a:path w="1694814" h="0">
                              <a:moveTo>
                                <a:pt x="0" y="0"/>
                              </a:moveTo>
                              <a:lnTo>
                                <a:pt x="1694271"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05.988007pt;margin-top:22.562408pt;width:133.450pt;height:.1pt;mso-position-horizontal-relative:page;mso-position-vertical-relative:paragraph;z-index:-15728640;mso-wrap-distance-left:0;mso-wrap-distance-right:0" id="docshape3" coordorigin="6120,451" coordsize="2669,0" path="m6120,451l8788,451e" filled="false" stroked="true" strokeweight=".627480pt" strokecolor="#000000">
                <v:path arrowok="t"/>
                <v:stroke dashstyle="solid"/>
                <w10:wrap type="topAndBottom"/>
              </v:shape>
            </w:pict>
          </mc:Fallback>
        </mc:AlternateContent>
      </w:r>
    </w:p>
    <w:p>
      <w:pPr>
        <w:pStyle w:val="BodyText"/>
        <w:spacing w:before="3"/>
        <w:ind w:left="5399"/>
      </w:pPr>
      <w:r>
        <w:rPr/>
        <w:t>Authorized</w:t>
      </w:r>
      <w:r>
        <w:rPr>
          <w:spacing w:val="-13"/>
        </w:rPr>
        <w:t> </w:t>
      </w:r>
      <w:r>
        <w:rPr>
          <w:spacing w:val="-2"/>
        </w:rPr>
        <w:t>Representative</w:t>
      </w:r>
    </w:p>
    <w:sectPr>
      <w:pgSz w:w="12240" w:h="15840"/>
      <w:pgMar w:header="731" w:footer="952" w:top="1080" w:bottom="114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529984">
              <wp:simplePos x="0" y="0"/>
              <wp:positionH relativeFrom="page">
                <wp:posOffset>673100</wp:posOffset>
              </wp:positionH>
              <wp:positionV relativeFrom="page">
                <wp:posOffset>9314339</wp:posOffset>
              </wp:positionV>
              <wp:extent cx="6211570" cy="15367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211570" cy="153670"/>
                      </a:xfrm>
                      <a:prstGeom prst="rect">
                        <a:avLst/>
                      </a:prstGeom>
                    </wps:spPr>
                    <wps:txbx>
                      <w:txbxContent>
                        <w:p>
                          <w:pPr>
                            <w:spacing w:before="14"/>
                            <w:ind w:left="20" w:right="0" w:firstLine="0"/>
                            <w:jc w:val="left"/>
                            <w:rPr>
                              <w:b/>
                              <w:sz w:val="18"/>
                            </w:rPr>
                          </w:pPr>
                          <w:r>
                            <w:rPr>
                              <w:sz w:val="18"/>
                            </w:rPr>
                            <w:t>152363</w:t>
                          </w:r>
                          <w:r>
                            <w:rPr>
                              <w:spacing w:val="-3"/>
                              <w:sz w:val="18"/>
                            </w:rPr>
                            <w:t> </w:t>
                          </w:r>
                          <w:r>
                            <w:rPr>
                              <w:sz w:val="18"/>
                            </w:rPr>
                            <w:t>(01/26)</w:t>
                          </w:r>
                          <w:r>
                            <w:rPr>
                              <w:spacing w:val="-2"/>
                              <w:sz w:val="18"/>
                            </w:rPr>
                            <w:t> </w:t>
                          </w:r>
                          <w:r>
                            <w:rPr>
                              <w:sz w:val="18"/>
                            </w:rPr>
                            <w:t>©</w:t>
                          </w:r>
                          <w:r>
                            <w:rPr>
                              <w:spacing w:val="-5"/>
                              <w:sz w:val="18"/>
                            </w:rPr>
                            <w:t> </w:t>
                          </w:r>
                          <w:r>
                            <w:rPr>
                              <w:sz w:val="18"/>
                            </w:rPr>
                            <w:t>2020,</w:t>
                          </w:r>
                          <w:r>
                            <w:rPr>
                              <w:spacing w:val="-1"/>
                              <w:sz w:val="18"/>
                            </w:rPr>
                            <w:t> </w:t>
                          </w:r>
                          <w:r>
                            <w:rPr>
                              <w:sz w:val="18"/>
                            </w:rPr>
                            <w:t>The</w:t>
                          </w:r>
                          <w:r>
                            <w:rPr>
                              <w:spacing w:val="-4"/>
                              <w:sz w:val="18"/>
                            </w:rPr>
                            <w:t> </w:t>
                          </w:r>
                          <w:r>
                            <w:rPr>
                              <w:sz w:val="18"/>
                            </w:rPr>
                            <w:t>Hartford</w:t>
                          </w:r>
                          <w:r>
                            <w:rPr>
                              <w:spacing w:val="-1"/>
                              <w:sz w:val="18"/>
                            </w:rPr>
                            <w:t> </w:t>
                          </w:r>
                          <w:r>
                            <w:rPr>
                              <w:sz w:val="18"/>
                            </w:rPr>
                            <w:t>Steam Boiler</w:t>
                          </w:r>
                          <w:r>
                            <w:rPr>
                              <w:spacing w:val="-2"/>
                              <w:sz w:val="18"/>
                            </w:rPr>
                            <w:t> </w:t>
                          </w:r>
                          <w:r>
                            <w:rPr>
                              <w:sz w:val="18"/>
                            </w:rPr>
                            <w:t>Inspection</w:t>
                          </w:r>
                          <w:r>
                            <w:rPr>
                              <w:spacing w:val="-1"/>
                              <w:sz w:val="18"/>
                            </w:rPr>
                            <w:t> </w:t>
                          </w:r>
                          <w:r>
                            <w:rPr>
                              <w:sz w:val="18"/>
                            </w:rPr>
                            <w:t>and</w:t>
                          </w:r>
                          <w:r>
                            <w:rPr>
                              <w:spacing w:val="-3"/>
                              <w:sz w:val="18"/>
                            </w:rPr>
                            <w:t> </w:t>
                          </w:r>
                          <w:r>
                            <w:rPr>
                              <w:sz w:val="18"/>
                            </w:rPr>
                            <w:t>Insurance</w:t>
                          </w:r>
                          <w:r>
                            <w:rPr>
                              <w:spacing w:val="-1"/>
                              <w:sz w:val="18"/>
                            </w:rPr>
                            <w:t> </w:t>
                          </w:r>
                          <w:r>
                            <w:rPr>
                              <w:sz w:val="18"/>
                            </w:rPr>
                            <w:t>Company.</w:t>
                          </w:r>
                          <w:r>
                            <w:rPr>
                              <w:spacing w:val="44"/>
                              <w:sz w:val="18"/>
                            </w:rPr>
                            <w:t> </w:t>
                          </w:r>
                          <w:r>
                            <w:rPr>
                              <w:sz w:val="18"/>
                            </w:rPr>
                            <w:t>All rights</w:t>
                          </w:r>
                          <w:r>
                            <w:rPr>
                              <w:spacing w:val="-1"/>
                              <w:sz w:val="18"/>
                            </w:rPr>
                            <w:t> </w:t>
                          </w:r>
                          <w:r>
                            <w:rPr>
                              <w:sz w:val="18"/>
                            </w:rPr>
                            <w:t>reserved</w:t>
                          </w:r>
                          <w:r>
                            <w:rPr>
                              <w:spacing w:val="46"/>
                              <w:sz w:val="18"/>
                            </w:rPr>
                            <w:t>  </w:t>
                          </w:r>
                          <w:r>
                            <w:rPr>
                              <w:sz w:val="18"/>
                            </w:rPr>
                            <w:t>.</w:t>
                          </w:r>
                          <w:r>
                            <w:rPr>
                              <w:spacing w:val="-1"/>
                              <w:sz w:val="18"/>
                            </w:rPr>
                            <w:t> </w:t>
                          </w:r>
                          <w:r>
                            <w:rPr>
                              <w:sz w:val="18"/>
                            </w:rPr>
                            <w:t>Page</w:t>
                          </w:r>
                          <w:r>
                            <w:rPr>
                              <w:spacing w:val="-4"/>
                              <w:sz w:val="18"/>
                            </w:rPr>
                            <w:t> </w:t>
                          </w:r>
                          <w:r>
                            <w:rPr>
                              <w:b/>
                              <w:sz w:val="18"/>
                            </w:rPr>
                            <w:fldChar w:fldCharType="begin"/>
                          </w:r>
                          <w:r>
                            <w:rPr>
                              <w:b/>
                              <w:sz w:val="18"/>
                            </w:rPr>
                            <w:instrText> PAGE </w:instrText>
                          </w:r>
                          <w:r>
                            <w:rPr>
                              <w:b/>
                              <w:sz w:val="18"/>
                            </w:rPr>
                            <w:fldChar w:fldCharType="separate"/>
                          </w:r>
                          <w:r>
                            <w:rPr>
                              <w:b/>
                              <w:sz w:val="18"/>
                            </w:rPr>
                            <w:t>2</w:t>
                          </w:r>
                          <w:r>
                            <w:rPr>
                              <w:b/>
                              <w:sz w:val="18"/>
                            </w:rPr>
                            <w:fldChar w:fldCharType="end"/>
                          </w:r>
                          <w:r>
                            <w:rPr>
                              <w:b/>
                              <w:spacing w:val="-1"/>
                              <w:sz w:val="18"/>
                            </w:rPr>
                            <w:t> </w:t>
                          </w:r>
                          <w:r>
                            <w:rPr>
                              <w:sz w:val="18"/>
                            </w:rPr>
                            <w:t>of</w:t>
                          </w:r>
                          <w:r>
                            <w:rPr>
                              <w:spacing w:val="-3"/>
                              <w:sz w:val="18"/>
                            </w:rPr>
                            <w:t> </w:t>
                          </w:r>
                          <w:r>
                            <w:rPr>
                              <w:b/>
                              <w:spacing w:val="-10"/>
                              <w:sz w:val="18"/>
                            </w:rPr>
                            <w:fldChar w:fldCharType="begin"/>
                          </w:r>
                          <w:r>
                            <w:rPr>
                              <w:b/>
                              <w:spacing w:val="-10"/>
                              <w:sz w:val="18"/>
                            </w:rPr>
                            <w:instrText> NUMPAGES </w:instrText>
                          </w:r>
                          <w:r>
                            <w:rPr>
                              <w:b/>
                              <w:spacing w:val="-10"/>
                              <w:sz w:val="18"/>
                            </w:rPr>
                            <w:fldChar w:fldCharType="separate"/>
                          </w:r>
                          <w:r>
                            <w:rPr>
                              <w:b/>
                              <w:spacing w:val="-10"/>
                              <w:sz w:val="18"/>
                            </w:rPr>
                            <w:t>3</w:t>
                          </w:r>
                          <w:r>
                            <w:rPr>
                              <w:b/>
                              <w:spacing w:val="-10"/>
                              <w:sz w:val="18"/>
                            </w:rPr>
                            <w:fldChar w:fldCharType="end"/>
                          </w:r>
                        </w:p>
                      </w:txbxContent>
                    </wps:txbx>
                    <wps:bodyPr wrap="square" lIns="0" tIns="0" rIns="0" bIns="0" rtlCol="0">
                      <a:noAutofit/>
                    </wps:bodyPr>
                  </wps:wsp>
                </a:graphicData>
              </a:graphic>
            </wp:anchor>
          </w:drawing>
        </mc:Choice>
        <mc:Fallback>
          <w:pict>
            <v:shape style="position:absolute;margin-left:53pt;margin-top:733.412537pt;width:489.1pt;height:12.1pt;mso-position-horizontal-relative:page;mso-position-vertical-relative:page;z-index:-15786496" type="#_x0000_t202" id="docshape2" filled="false" stroked="false">
              <v:textbox inset="0,0,0,0">
                <w:txbxContent>
                  <w:p>
                    <w:pPr>
                      <w:spacing w:before="14"/>
                      <w:ind w:left="20" w:right="0" w:firstLine="0"/>
                      <w:jc w:val="left"/>
                      <w:rPr>
                        <w:b/>
                        <w:sz w:val="18"/>
                      </w:rPr>
                    </w:pPr>
                    <w:r>
                      <w:rPr>
                        <w:sz w:val="18"/>
                      </w:rPr>
                      <w:t>152363</w:t>
                    </w:r>
                    <w:r>
                      <w:rPr>
                        <w:spacing w:val="-3"/>
                        <w:sz w:val="18"/>
                      </w:rPr>
                      <w:t> </w:t>
                    </w:r>
                    <w:r>
                      <w:rPr>
                        <w:sz w:val="18"/>
                      </w:rPr>
                      <w:t>(01/26)</w:t>
                    </w:r>
                    <w:r>
                      <w:rPr>
                        <w:spacing w:val="-2"/>
                        <w:sz w:val="18"/>
                      </w:rPr>
                      <w:t> </w:t>
                    </w:r>
                    <w:r>
                      <w:rPr>
                        <w:sz w:val="18"/>
                      </w:rPr>
                      <w:t>©</w:t>
                    </w:r>
                    <w:r>
                      <w:rPr>
                        <w:spacing w:val="-5"/>
                        <w:sz w:val="18"/>
                      </w:rPr>
                      <w:t> </w:t>
                    </w:r>
                    <w:r>
                      <w:rPr>
                        <w:sz w:val="18"/>
                      </w:rPr>
                      <w:t>2020,</w:t>
                    </w:r>
                    <w:r>
                      <w:rPr>
                        <w:spacing w:val="-1"/>
                        <w:sz w:val="18"/>
                      </w:rPr>
                      <w:t> </w:t>
                    </w:r>
                    <w:r>
                      <w:rPr>
                        <w:sz w:val="18"/>
                      </w:rPr>
                      <w:t>The</w:t>
                    </w:r>
                    <w:r>
                      <w:rPr>
                        <w:spacing w:val="-4"/>
                        <w:sz w:val="18"/>
                      </w:rPr>
                      <w:t> </w:t>
                    </w:r>
                    <w:r>
                      <w:rPr>
                        <w:sz w:val="18"/>
                      </w:rPr>
                      <w:t>Hartford</w:t>
                    </w:r>
                    <w:r>
                      <w:rPr>
                        <w:spacing w:val="-1"/>
                        <w:sz w:val="18"/>
                      </w:rPr>
                      <w:t> </w:t>
                    </w:r>
                    <w:r>
                      <w:rPr>
                        <w:sz w:val="18"/>
                      </w:rPr>
                      <w:t>Steam Boiler</w:t>
                    </w:r>
                    <w:r>
                      <w:rPr>
                        <w:spacing w:val="-2"/>
                        <w:sz w:val="18"/>
                      </w:rPr>
                      <w:t> </w:t>
                    </w:r>
                    <w:r>
                      <w:rPr>
                        <w:sz w:val="18"/>
                      </w:rPr>
                      <w:t>Inspection</w:t>
                    </w:r>
                    <w:r>
                      <w:rPr>
                        <w:spacing w:val="-1"/>
                        <w:sz w:val="18"/>
                      </w:rPr>
                      <w:t> </w:t>
                    </w:r>
                    <w:r>
                      <w:rPr>
                        <w:sz w:val="18"/>
                      </w:rPr>
                      <w:t>and</w:t>
                    </w:r>
                    <w:r>
                      <w:rPr>
                        <w:spacing w:val="-3"/>
                        <w:sz w:val="18"/>
                      </w:rPr>
                      <w:t> </w:t>
                    </w:r>
                    <w:r>
                      <w:rPr>
                        <w:sz w:val="18"/>
                      </w:rPr>
                      <w:t>Insurance</w:t>
                    </w:r>
                    <w:r>
                      <w:rPr>
                        <w:spacing w:val="-1"/>
                        <w:sz w:val="18"/>
                      </w:rPr>
                      <w:t> </w:t>
                    </w:r>
                    <w:r>
                      <w:rPr>
                        <w:sz w:val="18"/>
                      </w:rPr>
                      <w:t>Company.</w:t>
                    </w:r>
                    <w:r>
                      <w:rPr>
                        <w:spacing w:val="44"/>
                        <w:sz w:val="18"/>
                      </w:rPr>
                      <w:t> </w:t>
                    </w:r>
                    <w:r>
                      <w:rPr>
                        <w:sz w:val="18"/>
                      </w:rPr>
                      <w:t>All rights</w:t>
                    </w:r>
                    <w:r>
                      <w:rPr>
                        <w:spacing w:val="-1"/>
                        <w:sz w:val="18"/>
                      </w:rPr>
                      <w:t> </w:t>
                    </w:r>
                    <w:r>
                      <w:rPr>
                        <w:sz w:val="18"/>
                      </w:rPr>
                      <w:t>reserved</w:t>
                    </w:r>
                    <w:r>
                      <w:rPr>
                        <w:spacing w:val="46"/>
                        <w:sz w:val="18"/>
                      </w:rPr>
                      <w:t>  </w:t>
                    </w:r>
                    <w:r>
                      <w:rPr>
                        <w:sz w:val="18"/>
                      </w:rPr>
                      <w:t>.</w:t>
                    </w:r>
                    <w:r>
                      <w:rPr>
                        <w:spacing w:val="-1"/>
                        <w:sz w:val="18"/>
                      </w:rPr>
                      <w:t> </w:t>
                    </w:r>
                    <w:r>
                      <w:rPr>
                        <w:sz w:val="18"/>
                      </w:rPr>
                      <w:t>Page</w:t>
                    </w:r>
                    <w:r>
                      <w:rPr>
                        <w:spacing w:val="-4"/>
                        <w:sz w:val="18"/>
                      </w:rPr>
                      <w:t> </w:t>
                    </w:r>
                    <w:r>
                      <w:rPr>
                        <w:b/>
                        <w:sz w:val="18"/>
                      </w:rPr>
                      <w:fldChar w:fldCharType="begin"/>
                    </w:r>
                    <w:r>
                      <w:rPr>
                        <w:b/>
                        <w:sz w:val="18"/>
                      </w:rPr>
                      <w:instrText> PAGE </w:instrText>
                    </w:r>
                    <w:r>
                      <w:rPr>
                        <w:b/>
                        <w:sz w:val="18"/>
                      </w:rPr>
                      <w:fldChar w:fldCharType="separate"/>
                    </w:r>
                    <w:r>
                      <w:rPr>
                        <w:b/>
                        <w:sz w:val="18"/>
                      </w:rPr>
                      <w:t>2</w:t>
                    </w:r>
                    <w:r>
                      <w:rPr>
                        <w:b/>
                        <w:sz w:val="18"/>
                      </w:rPr>
                      <w:fldChar w:fldCharType="end"/>
                    </w:r>
                    <w:r>
                      <w:rPr>
                        <w:b/>
                        <w:spacing w:val="-1"/>
                        <w:sz w:val="18"/>
                      </w:rPr>
                      <w:t> </w:t>
                    </w:r>
                    <w:r>
                      <w:rPr>
                        <w:sz w:val="18"/>
                      </w:rPr>
                      <w:t>of</w:t>
                    </w:r>
                    <w:r>
                      <w:rPr>
                        <w:spacing w:val="-3"/>
                        <w:sz w:val="18"/>
                      </w:rPr>
                      <w:t> </w:t>
                    </w:r>
                    <w:r>
                      <w:rPr>
                        <w:b/>
                        <w:spacing w:val="-10"/>
                        <w:sz w:val="18"/>
                      </w:rPr>
                      <w:fldChar w:fldCharType="begin"/>
                    </w:r>
                    <w:r>
                      <w:rPr>
                        <w:b/>
                        <w:spacing w:val="-10"/>
                        <w:sz w:val="18"/>
                      </w:rPr>
                      <w:instrText> NUMPAGES </w:instrText>
                    </w:r>
                    <w:r>
                      <w:rPr>
                        <w:b/>
                        <w:spacing w:val="-10"/>
                        <w:sz w:val="18"/>
                      </w:rPr>
                      <w:fldChar w:fldCharType="separate"/>
                    </w:r>
                    <w:r>
                      <w:rPr>
                        <w:b/>
                        <w:spacing w:val="-10"/>
                        <w:sz w:val="18"/>
                      </w:rPr>
                      <w:t>3</w:t>
                    </w:r>
                    <w:r>
                      <w:rPr>
                        <w:b/>
                        <w:spacing w:val="-10"/>
                        <w:sz w:val="18"/>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529472">
              <wp:simplePos x="0" y="0"/>
              <wp:positionH relativeFrom="page">
                <wp:posOffset>654812</wp:posOffset>
              </wp:positionH>
              <wp:positionV relativeFrom="page">
                <wp:posOffset>451508</wp:posOffset>
              </wp:positionV>
              <wp:extent cx="6463030" cy="25209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6463030" cy="252095"/>
                      </a:xfrm>
                      <a:prstGeom prst="rect">
                        <a:avLst/>
                      </a:prstGeom>
                    </wps:spPr>
                    <wps:txbx>
                      <w:txbxContent>
                        <w:p>
                          <w:pPr>
                            <w:tabs>
                              <w:tab w:pos="10157" w:val="left" w:leader="none"/>
                            </w:tabs>
                            <w:spacing w:before="9"/>
                            <w:ind w:left="20" w:right="0" w:firstLine="0"/>
                            <w:jc w:val="left"/>
                            <w:rPr>
                              <w:b/>
                              <w:sz w:val="32"/>
                            </w:rPr>
                          </w:pPr>
                          <w:r>
                            <w:rPr>
                              <w:b/>
                              <w:spacing w:val="-61"/>
                              <w:sz w:val="32"/>
                              <w:u w:val="single"/>
                            </w:rPr>
                            <w:t> </w:t>
                          </w:r>
                          <w:r>
                            <w:rPr>
                              <w:b/>
                              <w:sz w:val="32"/>
                              <w:u w:val="single"/>
                            </w:rPr>
                            <w:t>Vermont</w:t>
                          </w:r>
                          <w:r>
                            <w:rPr>
                              <w:b/>
                              <w:spacing w:val="-17"/>
                              <w:sz w:val="32"/>
                              <w:u w:val="single"/>
                            </w:rPr>
                            <w:t> </w:t>
                          </w:r>
                          <w:r>
                            <w:rPr>
                              <w:b/>
                              <w:sz w:val="32"/>
                              <w:u w:val="single"/>
                            </w:rPr>
                            <w:t>Changes,</w:t>
                          </w:r>
                          <w:r>
                            <w:rPr>
                              <w:b/>
                              <w:spacing w:val="-13"/>
                              <w:sz w:val="32"/>
                              <w:u w:val="single"/>
                            </w:rPr>
                            <w:t> </w:t>
                          </w:r>
                          <w:r>
                            <w:rPr>
                              <w:b/>
                              <w:spacing w:val="-2"/>
                              <w:sz w:val="32"/>
                              <w:u w:val="single"/>
                            </w:rPr>
                            <w:t>continued</w:t>
                          </w:r>
                          <w:r>
                            <w:rPr>
                              <w:b/>
                              <w:sz w:val="32"/>
                              <w:u w:val="single"/>
                            </w:rPr>
                            <w:tab/>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1.560001pt;margin-top:35.551834pt;width:508.9pt;height:19.850pt;mso-position-horizontal-relative:page;mso-position-vertical-relative:page;z-index:-15787008" type="#_x0000_t202" id="docshape1" filled="false" stroked="false">
              <v:textbox inset="0,0,0,0">
                <w:txbxContent>
                  <w:p>
                    <w:pPr>
                      <w:tabs>
                        <w:tab w:pos="10157" w:val="left" w:leader="none"/>
                      </w:tabs>
                      <w:spacing w:before="9"/>
                      <w:ind w:left="20" w:right="0" w:firstLine="0"/>
                      <w:jc w:val="left"/>
                      <w:rPr>
                        <w:b/>
                        <w:sz w:val="32"/>
                      </w:rPr>
                    </w:pPr>
                    <w:r>
                      <w:rPr>
                        <w:b/>
                        <w:spacing w:val="-61"/>
                        <w:sz w:val="32"/>
                        <w:u w:val="single"/>
                      </w:rPr>
                      <w:t> </w:t>
                    </w:r>
                    <w:r>
                      <w:rPr>
                        <w:b/>
                        <w:sz w:val="32"/>
                        <w:u w:val="single"/>
                      </w:rPr>
                      <w:t>Vermont</w:t>
                    </w:r>
                    <w:r>
                      <w:rPr>
                        <w:b/>
                        <w:spacing w:val="-17"/>
                        <w:sz w:val="32"/>
                        <w:u w:val="single"/>
                      </w:rPr>
                      <w:t> </w:t>
                    </w:r>
                    <w:r>
                      <w:rPr>
                        <w:b/>
                        <w:sz w:val="32"/>
                        <w:u w:val="single"/>
                      </w:rPr>
                      <w:t>Changes,</w:t>
                    </w:r>
                    <w:r>
                      <w:rPr>
                        <w:b/>
                        <w:spacing w:val="-13"/>
                        <w:sz w:val="32"/>
                        <w:u w:val="single"/>
                      </w:rPr>
                      <w:t> </w:t>
                    </w:r>
                    <w:r>
                      <w:rPr>
                        <w:b/>
                        <w:spacing w:val="-2"/>
                        <w:sz w:val="32"/>
                        <w:u w:val="single"/>
                      </w:rPr>
                      <w:t>continued</w:t>
                    </w:r>
                    <w:r>
                      <w:rPr>
                        <w:b/>
                        <w:sz w:val="32"/>
                        <w:u w:val="single"/>
                      </w:rPr>
                      <w:tab/>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lowerLetter"/>
      <w:lvlText w:val="%1."/>
      <w:lvlJc w:val="left"/>
      <w:pPr>
        <w:ind w:left="1079" w:hanging="360"/>
        <w:jc w:val="left"/>
      </w:pPr>
      <w:rPr>
        <w:rFonts w:hint="default"/>
        <w:spacing w:val="-1"/>
        <w:w w:val="99"/>
        <w:lang w:val="en-US" w:eastAsia="en-US" w:bidi="ar-SA"/>
      </w:rPr>
    </w:lvl>
    <w:lvl w:ilvl="1">
      <w:start w:val="0"/>
      <w:numFmt w:val="bullet"/>
      <w:lvlText w:val="•"/>
      <w:lvlJc w:val="left"/>
      <w:pPr>
        <w:ind w:left="2052" w:hanging="360"/>
      </w:pPr>
      <w:rPr>
        <w:rFonts w:hint="default"/>
        <w:lang w:val="en-US" w:eastAsia="en-US" w:bidi="ar-SA"/>
      </w:rPr>
    </w:lvl>
    <w:lvl w:ilvl="2">
      <w:start w:val="0"/>
      <w:numFmt w:val="bullet"/>
      <w:lvlText w:val="•"/>
      <w:lvlJc w:val="left"/>
      <w:pPr>
        <w:ind w:left="3024" w:hanging="360"/>
      </w:pPr>
      <w:rPr>
        <w:rFonts w:hint="default"/>
        <w:lang w:val="en-US" w:eastAsia="en-US" w:bidi="ar-SA"/>
      </w:rPr>
    </w:lvl>
    <w:lvl w:ilvl="3">
      <w:start w:val="0"/>
      <w:numFmt w:val="bullet"/>
      <w:lvlText w:val="•"/>
      <w:lvlJc w:val="left"/>
      <w:pPr>
        <w:ind w:left="3996" w:hanging="360"/>
      </w:pPr>
      <w:rPr>
        <w:rFonts w:hint="default"/>
        <w:lang w:val="en-US" w:eastAsia="en-US" w:bidi="ar-SA"/>
      </w:rPr>
    </w:lvl>
    <w:lvl w:ilvl="4">
      <w:start w:val="0"/>
      <w:numFmt w:val="bullet"/>
      <w:lvlText w:val="•"/>
      <w:lvlJc w:val="left"/>
      <w:pPr>
        <w:ind w:left="4968" w:hanging="360"/>
      </w:pPr>
      <w:rPr>
        <w:rFonts w:hint="default"/>
        <w:lang w:val="en-US" w:eastAsia="en-US" w:bidi="ar-SA"/>
      </w:rPr>
    </w:lvl>
    <w:lvl w:ilvl="5">
      <w:start w:val="0"/>
      <w:numFmt w:val="bullet"/>
      <w:lvlText w:val="•"/>
      <w:lvlJc w:val="left"/>
      <w:pPr>
        <w:ind w:left="5940" w:hanging="360"/>
      </w:pPr>
      <w:rPr>
        <w:rFonts w:hint="default"/>
        <w:lang w:val="en-US" w:eastAsia="en-US" w:bidi="ar-SA"/>
      </w:rPr>
    </w:lvl>
    <w:lvl w:ilvl="6">
      <w:start w:val="0"/>
      <w:numFmt w:val="bullet"/>
      <w:lvlText w:val="•"/>
      <w:lvlJc w:val="left"/>
      <w:pPr>
        <w:ind w:left="6912" w:hanging="360"/>
      </w:pPr>
      <w:rPr>
        <w:rFonts w:hint="default"/>
        <w:lang w:val="en-US" w:eastAsia="en-US" w:bidi="ar-SA"/>
      </w:rPr>
    </w:lvl>
    <w:lvl w:ilvl="7">
      <w:start w:val="0"/>
      <w:numFmt w:val="bullet"/>
      <w:lvlText w:val="•"/>
      <w:lvlJc w:val="left"/>
      <w:pPr>
        <w:ind w:left="7884" w:hanging="360"/>
      </w:pPr>
      <w:rPr>
        <w:rFonts w:hint="default"/>
        <w:lang w:val="en-US" w:eastAsia="en-US" w:bidi="ar-SA"/>
      </w:rPr>
    </w:lvl>
    <w:lvl w:ilvl="8">
      <w:start w:val="0"/>
      <w:numFmt w:val="bullet"/>
      <w:lvlText w:val="•"/>
      <w:lvlJc w:val="left"/>
      <w:pPr>
        <w:ind w:left="8856" w:hanging="360"/>
      </w:pPr>
      <w:rPr>
        <w:rFonts w:hint="default"/>
        <w:lang w:val="en-US" w:eastAsia="en-US" w:bidi="ar-SA"/>
      </w:rPr>
    </w:lvl>
  </w:abstractNum>
  <w:abstractNum w:abstractNumId="0">
    <w:multiLevelType w:val="hybridMultilevel"/>
    <w:lvl w:ilvl="0">
      <w:start w:val="1"/>
      <w:numFmt w:val="decimal"/>
      <w:lvlText w:val="%1."/>
      <w:lvlJc w:val="left"/>
      <w:pPr>
        <w:ind w:left="719" w:hanging="360"/>
        <w:jc w:val="left"/>
      </w:pPr>
      <w:rPr>
        <w:rFonts w:hint="default" w:ascii="Arial" w:hAnsi="Arial" w:eastAsia="Arial" w:cs="Arial"/>
        <w:b/>
        <w:bCs/>
        <w:i w:val="0"/>
        <w:iCs w:val="0"/>
        <w:spacing w:val="-1"/>
        <w:w w:val="99"/>
        <w:sz w:val="20"/>
        <w:szCs w:val="20"/>
        <w:lang w:val="en-US" w:eastAsia="en-US" w:bidi="ar-SA"/>
      </w:rPr>
    </w:lvl>
    <w:lvl w:ilvl="1">
      <w:start w:val="1"/>
      <w:numFmt w:val="decimal"/>
      <w:lvlText w:val="%2."/>
      <w:lvlJc w:val="left"/>
      <w:pPr>
        <w:ind w:left="1079" w:hanging="360"/>
        <w:jc w:val="left"/>
      </w:pPr>
      <w:rPr>
        <w:rFonts w:hint="default" w:ascii="Arial" w:hAnsi="Arial" w:eastAsia="Arial" w:cs="Arial"/>
        <w:b/>
        <w:bCs/>
        <w:i w:val="0"/>
        <w:iCs w:val="0"/>
        <w:spacing w:val="-1"/>
        <w:w w:val="99"/>
        <w:sz w:val="20"/>
        <w:szCs w:val="20"/>
        <w:lang w:val="en-US" w:eastAsia="en-US" w:bidi="ar-SA"/>
      </w:rPr>
    </w:lvl>
    <w:lvl w:ilvl="2">
      <w:start w:val="0"/>
      <w:numFmt w:val="bullet"/>
      <w:lvlText w:val="•"/>
      <w:lvlJc w:val="left"/>
      <w:pPr>
        <w:ind w:left="2160" w:hanging="360"/>
      </w:pPr>
      <w:rPr>
        <w:rFonts w:hint="default"/>
        <w:lang w:val="en-US" w:eastAsia="en-US" w:bidi="ar-SA"/>
      </w:rPr>
    </w:lvl>
    <w:lvl w:ilvl="3">
      <w:start w:val="0"/>
      <w:numFmt w:val="bullet"/>
      <w:lvlText w:val="•"/>
      <w:lvlJc w:val="left"/>
      <w:pPr>
        <w:ind w:left="3240" w:hanging="360"/>
      </w:pPr>
      <w:rPr>
        <w:rFonts w:hint="default"/>
        <w:lang w:val="en-US" w:eastAsia="en-US" w:bidi="ar-SA"/>
      </w:rPr>
    </w:lvl>
    <w:lvl w:ilvl="4">
      <w:start w:val="0"/>
      <w:numFmt w:val="bullet"/>
      <w:lvlText w:val="•"/>
      <w:lvlJc w:val="left"/>
      <w:pPr>
        <w:ind w:left="4320" w:hanging="360"/>
      </w:pPr>
      <w:rPr>
        <w:rFonts w:hint="default"/>
        <w:lang w:val="en-US" w:eastAsia="en-US" w:bidi="ar-SA"/>
      </w:rPr>
    </w:lvl>
    <w:lvl w:ilvl="5">
      <w:start w:val="0"/>
      <w:numFmt w:val="bullet"/>
      <w:lvlText w:val="•"/>
      <w:lvlJc w:val="left"/>
      <w:pPr>
        <w:ind w:left="5400" w:hanging="360"/>
      </w:pPr>
      <w:rPr>
        <w:rFonts w:hint="default"/>
        <w:lang w:val="en-US" w:eastAsia="en-US" w:bidi="ar-SA"/>
      </w:rPr>
    </w:lvl>
    <w:lvl w:ilvl="6">
      <w:start w:val="0"/>
      <w:numFmt w:val="bullet"/>
      <w:lvlText w:val="•"/>
      <w:lvlJc w:val="left"/>
      <w:pPr>
        <w:ind w:left="6480" w:hanging="360"/>
      </w:pPr>
      <w:rPr>
        <w:rFonts w:hint="default"/>
        <w:lang w:val="en-US" w:eastAsia="en-US" w:bidi="ar-SA"/>
      </w:rPr>
    </w:lvl>
    <w:lvl w:ilvl="7">
      <w:start w:val="0"/>
      <w:numFmt w:val="bullet"/>
      <w:lvlText w:val="•"/>
      <w:lvlJc w:val="left"/>
      <w:pPr>
        <w:ind w:left="7560" w:hanging="360"/>
      </w:pPr>
      <w:rPr>
        <w:rFonts w:hint="default"/>
        <w:lang w:val="en-US" w:eastAsia="en-US" w:bidi="ar-SA"/>
      </w:rPr>
    </w:lvl>
    <w:lvl w:ilvl="8">
      <w:start w:val="0"/>
      <w:numFmt w:val="bullet"/>
      <w:lvlText w:val="•"/>
      <w:lvlJc w:val="left"/>
      <w:pPr>
        <w:ind w:left="8640" w:hanging="36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0"/>
      <w:szCs w:val="20"/>
      <w:lang w:val="en-US" w:eastAsia="en-US" w:bidi="ar-SA"/>
    </w:rPr>
  </w:style>
  <w:style w:styleId="Heading1" w:type="paragraph">
    <w:name w:val="Heading 1"/>
    <w:basedOn w:val="Normal"/>
    <w:uiPriority w:val="1"/>
    <w:qFormat/>
    <w:pPr>
      <w:spacing w:before="69"/>
      <w:ind w:left="1077" w:hanging="358"/>
      <w:jc w:val="both"/>
      <w:outlineLvl w:val="1"/>
    </w:pPr>
    <w:rPr>
      <w:rFonts w:ascii="Arial" w:hAnsi="Arial" w:eastAsia="Arial" w:cs="Arial"/>
      <w:b/>
      <w:bCs/>
      <w:sz w:val="20"/>
      <w:szCs w:val="20"/>
      <w:lang w:val="en-US" w:eastAsia="en-US" w:bidi="ar-SA"/>
    </w:rPr>
  </w:style>
  <w:style w:styleId="Title" w:type="paragraph">
    <w:name w:val="Title"/>
    <w:basedOn w:val="Normal"/>
    <w:uiPriority w:val="1"/>
    <w:qFormat/>
    <w:pPr>
      <w:spacing w:before="9"/>
    </w:pPr>
    <w:rPr>
      <w:rFonts w:ascii="Arial" w:hAnsi="Arial" w:eastAsia="Arial" w:cs="Arial"/>
      <w:b/>
      <w:bCs/>
      <w:sz w:val="32"/>
      <w:szCs w:val="32"/>
      <w:u w:val="single" w:color="000000"/>
      <w:lang w:val="en-US" w:eastAsia="en-US" w:bidi="ar-SA"/>
    </w:rPr>
  </w:style>
  <w:style w:styleId="ListParagraph" w:type="paragraph">
    <w:name w:val="List Paragraph"/>
    <w:basedOn w:val="Normal"/>
    <w:uiPriority w:val="1"/>
    <w:qFormat/>
    <w:pPr>
      <w:ind w:left="1077" w:hanging="358"/>
      <w:jc w:val="both"/>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Munich Re Group</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MacGougan</dc:creator>
  <dc:title>DATA COMPROMISE COVERAGE ENDORSEMENT</dc:title>
  <dcterms:created xsi:type="dcterms:W3CDTF">2025-12-22T16:48:45Z</dcterms:created>
  <dcterms:modified xsi:type="dcterms:W3CDTF">2025-12-22T16:48:45Z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vt:lpwstr>C3 confidential (no footer)</vt:lpwstr>
  </property>
  <property fmtid="{D5CDD505-2E9C-101B-9397-08002B2CF9AE}" pid="3" name="ContentTypeId">
    <vt:lpwstr>0x010100F1BC14C02EA86C4E970276DC59C61371</vt:lpwstr>
  </property>
  <property fmtid="{D5CDD505-2E9C-101B-9397-08002B2CF9AE}" pid="4" name="Created">
    <vt:filetime>2025-08-14T00:00:00Z</vt:filetime>
  </property>
  <property fmtid="{D5CDD505-2E9C-101B-9397-08002B2CF9AE}" pid="5" name="Creator">
    <vt:lpwstr>Acrobat PDFMaker 25 for Word</vt:lpwstr>
  </property>
  <property fmtid="{D5CDD505-2E9C-101B-9397-08002B2CF9AE}" pid="6" name="LastSaved">
    <vt:filetime>2025-12-22T00:00:00Z</vt:filetime>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nabled">
    <vt:lpwstr>True</vt:lpwstr>
  </property>
  <property fmtid="{D5CDD505-2E9C-101B-9397-08002B2CF9AE}" pid="9" name="MSIP_Label_01ddd689-1b54-4017-aaea-969e7802d22c_Extended_MSFT_Method">
    <vt:lpwstr>Automatic</vt:lpwstr>
  </property>
  <property fmtid="{D5CDD505-2E9C-101B-9397-08002B2CF9AE}" pid="10" name="MSIP_Label_01ddd689-1b54-4017-aaea-969e7802d22c_Name">
    <vt:lpwstr>C3</vt:lpwstr>
  </property>
  <property fmtid="{D5CDD505-2E9C-101B-9397-08002B2CF9AE}" pid="11" name="MSIP_Label_01ddd689-1b54-4017-aaea-969e7802d22c_Owner">
    <vt:lpwstr>tina_desroches@hsb.com</vt:lpwstr>
  </property>
  <property fmtid="{D5CDD505-2E9C-101B-9397-08002B2CF9AE}" pid="12" name="MSIP_Label_01ddd689-1b54-4017-aaea-969e7802d22c_SetDate">
    <vt:lpwstr>2018-12-05T19:43:59.7906339Z</vt:lpwstr>
  </property>
  <property fmtid="{D5CDD505-2E9C-101B-9397-08002B2CF9AE}" pid="13" name="MSIP_Label_01ddd689-1b54-4017-aaea-969e7802d22c_SiteId">
    <vt:lpwstr>582259a1-dcaa-4cca-b1cf-e60d3f045ecd</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Enabled">
    <vt:lpwstr>True</vt:lpwstr>
  </property>
  <property fmtid="{D5CDD505-2E9C-101B-9397-08002B2CF9AE}" pid="16" name="MSIP_Label_9805f1d6-ddd4-440e-89c4-7ba0aee99abb_Extended_MSFT_Method">
    <vt:lpwstr>Automatic</vt:lpwstr>
  </property>
  <property fmtid="{D5CDD505-2E9C-101B-9397-08002B2CF9AE}" pid="17" name="MSIP_Label_9805f1d6-ddd4-440e-89c4-7ba0aee99abb_Name">
    <vt:lpwstr>confidential (no footer)</vt:lpwstr>
  </property>
  <property fmtid="{D5CDD505-2E9C-101B-9397-08002B2CF9AE}" pid="18" name="MSIP_Label_9805f1d6-ddd4-440e-89c4-7ba0aee99abb_Owner">
    <vt:lpwstr>tina_desroches@hsb.com</vt:lpwstr>
  </property>
  <property fmtid="{D5CDD505-2E9C-101B-9397-08002B2CF9AE}" pid="19" name="MSIP_Label_9805f1d6-ddd4-440e-89c4-7ba0aee99abb_Parent">
    <vt:lpwstr>01ddd689-1b54-4017-aaea-969e7802d22c</vt:lpwstr>
  </property>
  <property fmtid="{D5CDD505-2E9C-101B-9397-08002B2CF9AE}" pid="20" name="MSIP_Label_9805f1d6-ddd4-440e-89c4-7ba0aee99abb_SetDate">
    <vt:lpwstr>2018-12-05T19:43:59.7906339Z</vt:lpwstr>
  </property>
  <property fmtid="{D5CDD505-2E9C-101B-9397-08002B2CF9AE}" pid="21" name="MSIP_Label_9805f1d6-ddd4-440e-89c4-7ba0aee99abb_SiteId">
    <vt:lpwstr>582259a1-dcaa-4cca-b1cf-e60d3f045ecd</vt:lpwstr>
  </property>
  <property fmtid="{D5CDD505-2E9C-101B-9397-08002B2CF9AE}" pid="22" name="Producer">
    <vt:lpwstr>Adobe PDF Library 25.1.51</vt:lpwstr>
  </property>
  <property fmtid="{D5CDD505-2E9C-101B-9397-08002B2CF9AE}" pid="23" name="SourceModified">
    <vt:lpwstr>D:20250811165121</vt:lpwstr>
  </property>
</Properties>
</file>